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i w:val="0"/>
          <w:caps w:val="0"/>
          <w:color w:val="auto"/>
          <w:spacing w:val="0"/>
          <w:sz w:val="44"/>
          <w:szCs w:val="44"/>
          <w:shd w:val="clear" w:color="auto" w:fill="FFFFFF"/>
          <w:lang w:eastAsia="zh-CN"/>
        </w:rPr>
        <w:t>白银区住房和城乡建设局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color="auto" w:fill="FFFFFF"/>
        </w:rPr>
      </w:pPr>
      <w:r>
        <w:rPr>
          <w:rFonts w:hint="eastAsia" w:ascii="方正小标宋简体" w:hAnsi="方正小标宋简体" w:eastAsia="方正小标宋简体" w:cs="方正小标宋简体"/>
          <w:b w:val="0"/>
          <w:i w:val="0"/>
          <w:caps w:val="0"/>
          <w:color w:val="auto"/>
          <w:spacing w:val="0"/>
          <w:sz w:val="44"/>
          <w:szCs w:val="44"/>
          <w:shd w:val="clear" w:color="auto" w:fill="FFFFFF"/>
        </w:rPr>
        <w:t>201</w:t>
      </w:r>
      <w:r>
        <w:rPr>
          <w:rFonts w:hint="eastAsia" w:ascii="方正小标宋简体" w:hAnsi="方正小标宋简体" w:eastAsia="方正小标宋简体" w:cs="方正小标宋简体"/>
          <w:b w:val="0"/>
          <w:i w:val="0"/>
          <w:caps w:val="0"/>
          <w:color w:val="auto"/>
          <w:spacing w:val="0"/>
          <w:sz w:val="44"/>
          <w:szCs w:val="44"/>
          <w:shd w:val="clear" w:color="auto" w:fill="FFFFFF"/>
          <w:lang w:val="en-US" w:eastAsia="zh-CN"/>
        </w:rPr>
        <w:t>9</w:t>
      </w:r>
      <w:r>
        <w:rPr>
          <w:rFonts w:hint="eastAsia" w:ascii="方正小标宋简体" w:hAnsi="方正小标宋简体" w:eastAsia="方正小标宋简体" w:cs="方正小标宋简体"/>
          <w:b w:val="0"/>
          <w:i w:val="0"/>
          <w:caps w:val="0"/>
          <w:color w:val="auto"/>
          <w:spacing w:val="0"/>
          <w:sz w:val="44"/>
          <w:szCs w:val="44"/>
          <w:shd w:val="clear" w:color="auto" w:fill="FFFFFF"/>
        </w:rPr>
        <w:t>年</w:t>
      </w:r>
      <w:r>
        <w:rPr>
          <w:rFonts w:hint="eastAsia" w:ascii="方正小标宋简体" w:hAnsi="方正小标宋简体" w:eastAsia="方正小标宋简体" w:cs="方正小标宋简体"/>
          <w:b w:val="0"/>
          <w:i w:val="0"/>
          <w:caps w:val="0"/>
          <w:color w:val="auto"/>
          <w:spacing w:val="0"/>
          <w:sz w:val="44"/>
          <w:szCs w:val="44"/>
          <w:shd w:val="clear" w:color="auto" w:fill="FFFFFF"/>
          <w:lang w:eastAsia="zh-CN"/>
        </w:rPr>
        <w:t>度</w:t>
      </w:r>
      <w:r>
        <w:rPr>
          <w:rFonts w:hint="eastAsia" w:ascii="方正小标宋简体" w:hAnsi="方正小标宋简体" w:eastAsia="方正小标宋简体" w:cs="方正小标宋简体"/>
          <w:b w:val="0"/>
          <w:i w:val="0"/>
          <w:caps w:val="0"/>
          <w:color w:val="auto"/>
          <w:spacing w:val="0"/>
          <w:sz w:val="44"/>
          <w:szCs w:val="44"/>
          <w:shd w:val="clear" w:color="auto" w:fill="FFFFFF"/>
        </w:rPr>
        <w:t>政府信息公开工作年度报告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i w:val="0"/>
          <w:caps w:val="0"/>
          <w:color w:val="auto"/>
          <w:spacing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textAlignment w:val="auto"/>
        <w:rPr>
          <w:rFonts w:hint="eastAsia" w:ascii="黑体" w:hAnsi="黑体" w:eastAsia="黑体" w:cs="黑体"/>
          <w:b w:val="0"/>
          <w:bCs w:val="0"/>
          <w:color w:val="auto"/>
          <w:kern w:val="0"/>
          <w:sz w:val="32"/>
          <w:szCs w:val="32"/>
        </w:rPr>
      </w:pPr>
      <w:bookmarkStart w:id="0" w:name="_GoBack"/>
      <w:r>
        <w:rPr>
          <w:rFonts w:hint="eastAsia" w:ascii="黑体" w:hAnsi="黑体" w:eastAsia="黑体" w:cs="黑体"/>
          <w:b w:val="0"/>
          <w:bCs w:val="0"/>
          <w:color w:val="auto"/>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2019年，我局政府信息工作按照《中华人民共和国政府信息公开条例》要求，在加强领导、完善组织、健全制度、规范公开形式、完善设施等方面主要抓了以下几方面的工作：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（一）加强领导，健全机制。</w:t>
      </w:r>
      <w:r>
        <w:rPr>
          <w:rFonts w:hint="eastAsia" w:ascii="仿宋_GB2312" w:hAnsi="仿宋_GB2312" w:eastAsia="仿宋_GB2312" w:cs="仿宋_GB2312"/>
          <w:color w:val="auto"/>
          <w:kern w:val="0"/>
          <w:sz w:val="32"/>
          <w:szCs w:val="32"/>
        </w:rPr>
        <w:t>我局高度重视政府信息公开工作，为加强对政府信息公开工作的组织领导，成立了政府信息公开领导小组，明确局办公室承担政府信息公开日常工作，并指定1名办公室工作人员负责政府信息公开工作和管理政府信息公开网上录入、审核、系统维护工作，负责收集、梳理信息及上传发布信息，做到人员到位、责任到位、措施到位，从而确保了此项工作的顺利开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（二）规范制度，强化宣传。</w:t>
      </w: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eastAsia="zh-CN"/>
        </w:rPr>
        <w:t>区政务公开办</w:t>
      </w:r>
      <w:r>
        <w:rPr>
          <w:rFonts w:hint="eastAsia" w:ascii="仿宋_GB2312" w:hAnsi="仿宋_GB2312" w:eastAsia="仿宋_GB2312" w:cs="仿宋_GB2312"/>
          <w:color w:val="auto"/>
          <w:kern w:val="0"/>
          <w:sz w:val="32"/>
          <w:szCs w:val="32"/>
        </w:rPr>
        <w:t>相关规定，结合</w:t>
      </w:r>
      <w:r>
        <w:rPr>
          <w:rFonts w:hint="eastAsia" w:ascii="仿宋_GB2312" w:hAnsi="仿宋_GB2312" w:eastAsia="仿宋_GB2312" w:cs="仿宋_GB2312"/>
          <w:color w:val="auto"/>
          <w:kern w:val="0"/>
          <w:sz w:val="32"/>
          <w:szCs w:val="32"/>
          <w:lang w:val="en-US" w:eastAsia="zh-CN"/>
        </w:rPr>
        <w:t>白银区住建</w:t>
      </w:r>
      <w:r>
        <w:rPr>
          <w:rFonts w:hint="eastAsia" w:ascii="仿宋_GB2312" w:hAnsi="仿宋_GB2312" w:eastAsia="仿宋_GB2312" w:cs="仿宋_GB2312"/>
          <w:color w:val="auto"/>
          <w:kern w:val="0"/>
          <w:sz w:val="32"/>
          <w:szCs w:val="32"/>
        </w:rPr>
        <w:t>工作实际，我局制定了政府信息公开</w:t>
      </w:r>
      <w:r>
        <w:rPr>
          <w:rFonts w:hint="eastAsia" w:ascii="仿宋_GB2312" w:hAnsi="仿宋_GB2312" w:eastAsia="仿宋_GB2312" w:cs="仿宋_GB2312"/>
          <w:color w:val="auto"/>
          <w:kern w:val="0"/>
          <w:sz w:val="32"/>
          <w:szCs w:val="32"/>
          <w:lang w:eastAsia="zh-CN"/>
        </w:rPr>
        <w:t>保障</w:t>
      </w:r>
      <w:r>
        <w:rPr>
          <w:rFonts w:hint="eastAsia" w:ascii="仿宋_GB2312" w:hAnsi="仿宋_GB2312" w:eastAsia="仿宋_GB2312" w:cs="仿宋_GB2312"/>
          <w:color w:val="auto"/>
          <w:kern w:val="0"/>
          <w:sz w:val="32"/>
          <w:szCs w:val="32"/>
        </w:rPr>
        <w:t>制度、</w:t>
      </w:r>
      <w:r>
        <w:rPr>
          <w:rFonts w:hint="eastAsia" w:ascii="仿宋_GB2312" w:hAnsi="仿宋_GB2312" w:eastAsia="仿宋_GB2312" w:cs="仿宋_GB2312"/>
          <w:color w:val="auto"/>
          <w:kern w:val="0"/>
          <w:sz w:val="32"/>
          <w:szCs w:val="32"/>
          <w:lang w:eastAsia="zh-CN"/>
        </w:rPr>
        <w:t>政府信息主动公开工作</w:t>
      </w:r>
      <w:r>
        <w:rPr>
          <w:rFonts w:hint="eastAsia" w:ascii="仿宋_GB2312" w:hAnsi="仿宋_GB2312" w:eastAsia="仿宋_GB2312" w:cs="仿宋_GB2312"/>
          <w:color w:val="auto"/>
          <w:kern w:val="0"/>
          <w:sz w:val="32"/>
          <w:szCs w:val="32"/>
        </w:rPr>
        <w:t>制度、保密审查制度等政府信息公开工作制度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组织干部职工学习</w:t>
      </w:r>
      <w:r>
        <w:rPr>
          <w:rFonts w:hint="eastAsia" w:ascii="仿宋_GB2312" w:hAnsi="仿宋_GB2312" w:eastAsia="仿宋_GB2312" w:cs="仿宋_GB2312"/>
          <w:color w:val="auto"/>
          <w:kern w:val="0"/>
          <w:sz w:val="32"/>
          <w:szCs w:val="32"/>
          <w:lang w:eastAsia="zh-CN"/>
        </w:rPr>
        <w:t>新修订</w:t>
      </w:r>
      <w:r>
        <w:rPr>
          <w:rFonts w:hint="eastAsia" w:ascii="仿宋_GB2312" w:hAnsi="仿宋_GB2312" w:eastAsia="仿宋_GB2312" w:cs="仿宋_GB2312"/>
          <w:color w:val="auto"/>
          <w:kern w:val="0"/>
          <w:sz w:val="32"/>
          <w:szCs w:val="32"/>
        </w:rPr>
        <w:t>《中华人民共和国政府信息公开条例》，要求各部门</w:t>
      </w:r>
      <w:r>
        <w:rPr>
          <w:rFonts w:hint="eastAsia" w:ascii="仿宋_GB2312" w:hAnsi="仿宋_GB2312" w:eastAsia="仿宋_GB2312" w:cs="仿宋_GB2312"/>
          <w:color w:val="auto"/>
          <w:kern w:val="0"/>
          <w:sz w:val="32"/>
          <w:szCs w:val="32"/>
          <w:lang w:eastAsia="zh-CN"/>
        </w:rPr>
        <w:t>股室</w:t>
      </w:r>
      <w:r>
        <w:rPr>
          <w:rFonts w:hint="eastAsia" w:ascii="仿宋_GB2312" w:hAnsi="仿宋_GB2312" w:eastAsia="仿宋_GB2312" w:cs="仿宋_GB2312"/>
          <w:color w:val="auto"/>
          <w:kern w:val="0"/>
          <w:sz w:val="32"/>
          <w:szCs w:val="32"/>
        </w:rPr>
        <w:t>要把此项工作作为一项基本任务来抓</w:t>
      </w:r>
      <w:r>
        <w:rPr>
          <w:rFonts w:hint="eastAsia" w:ascii="仿宋_GB2312" w:hAnsi="仿宋_GB2312" w:eastAsia="仿宋_GB2312" w:cs="仿宋_GB2312"/>
          <w:color w:val="auto"/>
          <w:kern w:val="0"/>
          <w:sz w:val="32"/>
          <w:szCs w:val="32"/>
          <w:lang w:eastAsia="zh-CN"/>
        </w:rPr>
        <w:t>细</w:t>
      </w:r>
      <w:r>
        <w:rPr>
          <w:rFonts w:hint="eastAsia" w:ascii="仿宋_GB2312" w:hAnsi="仿宋_GB2312" w:eastAsia="仿宋_GB2312" w:cs="仿宋_GB2312"/>
          <w:color w:val="auto"/>
          <w:kern w:val="0"/>
          <w:sz w:val="32"/>
          <w:szCs w:val="32"/>
        </w:rPr>
        <w:t>、抓实，并及时提供公开内容，加强对外宣传，真正把政府信息公开工作上升到全面加强机关作风建设、落实政务公开的崭新高度来认识，从而增强开展此项工作的责任感和使命感。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（三）严格审查，精心落实。</w:t>
      </w:r>
      <w:r>
        <w:rPr>
          <w:rFonts w:hint="eastAsia" w:ascii="仿宋_GB2312" w:hAnsi="仿宋_GB2312" w:eastAsia="仿宋_GB2312" w:cs="仿宋_GB2312"/>
          <w:color w:val="auto"/>
          <w:kern w:val="0"/>
          <w:sz w:val="32"/>
          <w:szCs w:val="32"/>
        </w:rPr>
        <w:t>在公开政府信息过程中，及时明确了政府信息的公开属性，将政府信息分为主动公开、依申请公开、不予公开(暂不公开、不公开)三类，严格按照保密法对政府信息逐条进行审核，确保公开的信息不涉密，涉密的信息不公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2019年1月1日至12月</w:t>
      </w:r>
      <w:r>
        <w:rPr>
          <w:rFonts w:hint="eastAsia" w:ascii="仿宋_GB2312" w:hAnsi="仿宋_GB2312" w:eastAsia="仿宋_GB2312" w:cs="仿宋_GB2312"/>
          <w:color w:val="auto"/>
          <w:kern w:val="0"/>
          <w:sz w:val="32"/>
          <w:szCs w:val="32"/>
          <w:lang w:val="en-US" w:eastAsia="zh-CN"/>
        </w:rPr>
        <w:t>31</w:t>
      </w:r>
      <w:r>
        <w:rPr>
          <w:rFonts w:hint="eastAsia" w:ascii="仿宋_GB2312" w:hAnsi="仿宋_GB2312" w:eastAsia="仿宋_GB2312" w:cs="仿宋_GB2312"/>
          <w:color w:val="auto"/>
          <w:kern w:val="0"/>
          <w:sz w:val="32"/>
          <w:szCs w:val="32"/>
        </w:rPr>
        <w:t>日我局在</w:t>
      </w:r>
      <w:r>
        <w:rPr>
          <w:rFonts w:hint="eastAsia" w:ascii="仿宋_GB2312" w:hAnsi="仿宋_GB2312" w:eastAsia="仿宋_GB2312" w:cs="仿宋_GB2312"/>
          <w:color w:val="auto"/>
          <w:kern w:val="0"/>
          <w:sz w:val="32"/>
          <w:szCs w:val="32"/>
          <w:lang w:eastAsia="zh-CN"/>
        </w:rPr>
        <w:t>区政府</w:t>
      </w:r>
      <w:r>
        <w:rPr>
          <w:rFonts w:hint="eastAsia" w:ascii="仿宋_GB2312" w:hAnsi="仿宋_GB2312" w:eastAsia="仿宋_GB2312" w:cs="仿宋_GB2312"/>
          <w:color w:val="auto"/>
          <w:kern w:val="0"/>
          <w:sz w:val="32"/>
          <w:szCs w:val="32"/>
        </w:rPr>
        <w:t>门户网站政府信息公开统一平台上累计主动公开政府信息</w:t>
      </w:r>
      <w:r>
        <w:rPr>
          <w:rFonts w:hint="eastAsia" w:ascii="仿宋_GB2312" w:hAnsi="仿宋_GB2312" w:eastAsia="仿宋_GB2312" w:cs="仿宋_GB2312"/>
          <w:b w:val="0"/>
          <w:i w:val="0"/>
          <w:caps w:val="0"/>
          <w:color w:val="auto"/>
          <w:spacing w:val="0"/>
          <w:sz w:val="32"/>
          <w:szCs w:val="32"/>
          <w:shd w:val="clear" w:color="auto" w:fill="FFFFFF"/>
          <w:lang w:val="en-US" w:eastAsia="zh-CN"/>
        </w:rPr>
        <w:t>112</w:t>
      </w:r>
      <w:r>
        <w:rPr>
          <w:rFonts w:hint="eastAsia" w:ascii="仿宋_GB2312" w:hAnsi="仿宋_GB2312" w:eastAsia="仿宋_GB2312" w:cs="仿宋_GB2312"/>
          <w:b w:val="0"/>
          <w:i w:val="0"/>
          <w:caps w:val="0"/>
          <w:color w:val="auto"/>
          <w:spacing w:val="0"/>
          <w:sz w:val="32"/>
          <w:szCs w:val="32"/>
          <w:shd w:val="clear" w:color="auto" w:fill="FFFFFF"/>
        </w:rPr>
        <w:t>条，其中</w:t>
      </w:r>
      <w:r>
        <w:rPr>
          <w:rFonts w:hint="eastAsia" w:ascii="仿宋_GB2312" w:hAnsi="仿宋_GB2312" w:eastAsia="仿宋_GB2312" w:cs="仿宋_GB2312"/>
          <w:b w:val="0"/>
          <w:i w:val="0"/>
          <w:caps w:val="0"/>
          <w:color w:val="auto"/>
          <w:spacing w:val="0"/>
          <w:sz w:val="32"/>
          <w:szCs w:val="32"/>
          <w:shd w:val="clear" w:color="auto" w:fill="FFFFFF"/>
          <w:lang w:eastAsia="zh-CN"/>
        </w:rPr>
        <w:t>机构职能</w:t>
      </w:r>
      <w:r>
        <w:rPr>
          <w:rFonts w:hint="eastAsia" w:ascii="仿宋_GB2312" w:hAnsi="仿宋_GB2312" w:eastAsia="仿宋_GB2312" w:cs="仿宋_GB2312"/>
          <w:b w:val="0"/>
          <w:i w:val="0"/>
          <w:caps w:val="0"/>
          <w:color w:val="auto"/>
          <w:spacing w:val="0"/>
          <w:sz w:val="32"/>
          <w:szCs w:val="32"/>
          <w:shd w:val="clear" w:color="auto" w:fill="FFFFFF"/>
          <w:lang w:val="en-US" w:eastAsia="zh-CN"/>
        </w:rPr>
        <w:t>2条（其中：主要职责1</w:t>
      </w:r>
      <w:r>
        <w:rPr>
          <w:rFonts w:hint="eastAsia" w:ascii="仿宋_GB2312" w:hAnsi="仿宋_GB2312" w:eastAsia="仿宋_GB2312" w:cs="仿宋_GB2312"/>
          <w:b w:val="0"/>
          <w:i w:val="0"/>
          <w:caps w:val="0"/>
          <w:color w:val="auto"/>
          <w:spacing w:val="0"/>
          <w:sz w:val="32"/>
          <w:szCs w:val="32"/>
          <w:shd w:val="clear" w:color="auto" w:fill="FFFFFF"/>
          <w:lang w:eastAsia="zh-CN"/>
        </w:rPr>
        <w:t>条、领导分工</w:t>
      </w:r>
      <w:r>
        <w:rPr>
          <w:rFonts w:hint="eastAsia" w:ascii="仿宋_GB2312" w:hAnsi="仿宋_GB2312" w:eastAsia="仿宋_GB2312" w:cs="仿宋_GB2312"/>
          <w:b w:val="0"/>
          <w:i w:val="0"/>
          <w:caps w:val="0"/>
          <w:color w:val="auto"/>
          <w:spacing w:val="0"/>
          <w:sz w:val="32"/>
          <w:szCs w:val="32"/>
          <w:shd w:val="clear" w:color="auto" w:fill="FFFFFF"/>
          <w:lang w:val="en-US" w:eastAsia="zh-CN"/>
        </w:rPr>
        <w:t>1条），</w:t>
      </w:r>
      <w:r>
        <w:rPr>
          <w:rFonts w:hint="eastAsia" w:ascii="仿宋_GB2312" w:hAnsi="仿宋_GB2312" w:eastAsia="仿宋_GB2312" w:cs="仿宋_GB2312"/>
          <w:b w:val="0"/>
          <w:i w:val="0"/>
          <w:caps w:val="0"/>
          <w:color w:val="auto"/>
          <w:spacing w:val="0"/>
          <w:sz w:val="32"/>
          <w:szCs w:val="32"/>
          <w:shd w:val="clear" w:color="auto" w:fill="FFFFFF"/>
          <w:lang w:eastAsia="zh-CN"/>
        </w:rPr>
        <w:t>政策法规</w:t>
      </w:r>
      <w:r>
        <w:rPr>
          <w:rFonts w:hint="eastAsia" w:ascii="仿宋_GB2312" w:hAnsi="仿宋_GB2312" w:eastAsia="仿宋_GB2312" w:cs="仿宋_GB2312"/>
          <w:b w:val="0"/>
          <w:i w:val="0"/>
          <w:caps w:val="0"/>
          <w:color w:val="auto"/>
          <w:spacing w:val="0"/>
          <w:sz w:val="32"/>
          <w:szCs w:val="32"/>
          <w:shd w:val="clear" w:color="auto" w:fill="FFFFFF"/>
          <w:lang w:val="en-US" w:eastAsia="zh-CN"/>
        </w:rPr>
        <w:t>4条，规划计划5条，突发公共事件10条，规范性文件25条，政策解读8条（权威解读5条，领导解读3条），重大决策和重要征求意见及反馈信息6条，重点领域信息公开42条（其中财政预决算及“三公经费”5条、安全生产15条、保障性住房6条，监管信息1条、“双随机”抽查信息10条、棚户区改造5条），利益相关列席会议信息6条，其他信息4条（其中：信息公开指南1条，信息公开制度规定1条，2018年信息公开年度报告1条，成绩单1条）。</w:t>
      </w:r>
      <w:r>
        <w:rPr>
          <w:rFonts w:hint="eastAsia" w:ascii="仿宋_GB2312" w:hAnsi="仿宋_GB2312" w:eastAsia="仿宋_GB2312" w:cs="仿宋_GB2312"/>
          <w:color w:val="auto"/>
          <w:kern w:val="0"/>
          <w:sz w:val="32"/>
          <w:szCs w:val="32"/>
        </w:rPr>
        <w:t>已公开的政府信息中未涉及国家秘密、商业秘密和个人隐私，也没有经权利人同意公开或者行政机关认为不公开可能对公共利益造成重大影响的涉及商业秘密、个人隐私的政府信息。</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firstLine="48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主动公开政府信息情况</w:t>
      </w:r>
    </w:p>
    <w:bookmarkEnd w:id="0"/>
    <w:p>
      <w:pPr>
        <w:pStyle w:val="2"/>
        <w:numPr>
          <w:ilvl w:val="0"/>
          <w:numId w:val="0"/>
        </w:numPr>
        <w:rPr>
          <w:rFonts w:hint="eastAsia"/>
        </w:rPr>
      </w:pPr>
    </w:p>
    <w:tbl>
      <w:tblPr>
        <w:tblStyle w:val="6"/>
        <w:tblW w:w="5044" w:type="pct"/>
        <w:jc w:val="center"/>
        <w:tblLayout w:type="autofit"/>
        <w:tblCellMar>
          <w:top w:w="15" w:type="dxa"/>
          <w:left w:w="15" w:type="dxa"/>
          <w:bottom w:w="0" w:type="dxa"/>
          <w:right w:w="0" w:type="dxa"/>
        </w:tblCellMar>
      </w:tblPr>
      <w:tblGrid>
        <w:gridCol w:w="3196"/>
        <w:gridCol w:w="1931"/>
        <w:gridCol w:w="1295"/>
        <w:gridCol w:w="1957"/>
      </w:tblGrid>
      <w:tr>
        <w:tblPrEx>
          <w:tblCellMar>
            <w:top w:w="15" w:type="dxa"/>
            <w:left w:w="15" w:type="dxa"/>
            <w:bottom w:w="0" w:type="dxa"/>
            <w:right w:w="0" w:type="dxa"/>
          </w:tblCellMar>
        </w:tblPrEx>
        <w:trPr>
          <w:trHeight w:val="745" w:hRule="atLeast"/>
          <w:jc w:val="center"/>
        </w:trPr>
        <w:tc>
          <w:tcPr>
            <w:tcW w:w="5000" w:type="pct"/>
            <w:gridSpan w:val="4"/>
            <w:tcBorders>
              <w:bottom w:val="single" w:color="auto" w:sz="8" w:space="0"/>
            </w:tcBorders>
            <w:shd w:val="clear" w:color="auto" w:fill="C6D9F1"/>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第二十条第（一）项</w:t>
            </w:r>
          </w:p>
        </w:tc>
      </w:tr>
      <w:tr>
        <w:tblPrEx>
          <w:tblCellMar>
            <w:top w:w="15" w:type="dxa"/>
            <w:left w:w="15" w:type="dxa"/>
            <w:bottom w:w="0" w:type="dxa"/>
            <w:right w:w="0" w:type="dxa"/>
          </w:tblCellMar>
        </w:tblPrEx>
        <w:trPr>
          <w:trHeight w:val="711"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信息内容</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本年新</w:t>
            </w:r>
            <w:r>
              <w:rPr>
                <w:rFonts w:hint="eastAsia" w:ascii="宋体" w:hAnsi="宋体" w:eastAsia="宋体" w:cs="宋体"/>
                <w:color w:val="auto"/>
                <w:kern w:val="0"/>
                <w:sz w:val="22"/>
                <w:szCs w:val="22"/>
              </w:rPr>
              <w:br w:type="textWrapping"/>
            </w:r>
            <w:r>
              <w:rPr>
                <w:rFonts w:ascii="宋体" w:hAnsi="宋体" w:eastAsia="宋体" w:cs="宋体"/>
                <w:color w:val="auto"/>
                <w:kern w:val="0"/>
                <w:sz w:val="22"/>
                <w:szCs w:val="22"/>
              </w:rPr>
              <w:t>制作数量</w:t>
            </w:r>
          </w:p>
        </w:tc>
        <w:tc>
          <w:tcPr>
            <w:tcW w:w="773" w:type="pct"/>
            <w:tcBorders>
              <w:bottom w:val="single" w:color="auto" w:sz="8"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本年新</w:t>
            </w:r>
            <w:r>
              <w:rPr>
                <w:rFonts w:hint="eastAsia" w:ascii="宋体" w:hAnsi="宋体" w:eastAsia="宋体" w:cs="宋体"/>
                <w:color w:val="auto"/>
                <w:kern w:val="0"/>
                <w:sz w:val="22"/>
                <w:szCs w:val="22"/>
              </w:rPr>
              <w:br w:type="textWrapping"/>
            </w:r>
            <w:r>
              <w:rPr>
                <w:rFonts w:ascii="宋体" w:hAnsi="宋体" w:eastAsia="宋体" w:cs="宋体"/>
                <w:color w:val="auto"/>
                <w:kern w:val="0"/>
                <w:sz w:val="22"/>
                <w:szCs w:val="22"/>
              </w:rPr>
              <w:t>公开数量</w:t>
            </w:r>
          </w:p>
        </w:tc>
        <w:tc>
          <w:tcPr>
            <w:tcW w:w="1166"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对外公开总数量</w:t>
            </w:r>
          </w:p>
        </w:tc>
      </w:tr>
      <w:tr>
        <w:tblPrEx>
          <w:tblCellMar>
            <w:top w:w="15" w:type="dxa"/>
            <w:left w:w="15" w:type="dxa"/>
            <w:bottom w:w="0" w:type="dxa"/>
            <w:right w:w="0" w:type="dxa"/>
          </w:tblCellMar>
        </w:tblPrEx>
        <w:trPr>
          <w:trHeight w:val="534"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规</w:t>
            </w:r>
            <w:r>
              <w:rPr>
                <w:rFonts w:hint="eastAsia" w:ascii="宋体" w:hAnsi="宋体" w:cs="宋体"/>
                <w:color w:val="auto"/>
                <w:kern w:val="0"/>
                <w:sz w:val="22"/>
                <w:szCs w:val="22"/>
                <w:lang w:val="en-US" w:eastAsia="zh-CN"/>
              </w:rPr>
              <w:t xml:space="preserve">  </w:t>
            </w:r>
            <w:r>
              <w:rPr>
                <w:rFonts w:hint="eastAsia" w:ascii="宋体" w:hAnsi="宋体" w:eastAsia="宋体" w:cs="宋体"/>
                <w:color w:val="auto"/>
                <w:kern w:val="0"/>
                <w:sz w:val="22"/>
                <w:szCs w:val="22"/>
              </w:rPr>
              <w:t>章</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773" w:type="pct"/>
            <w:tcBorders>
              <w:bottom w:val="single" w:color="auto" w:sz="8"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cs="宋体"/>
                <w:color w:val="auto"/>
                <w:kern w:val="0"/>
                <w:sz w:val="21"/>
                <w:szCs w:val="21"/>
                <w:lang w:val="en-US" w:eastAsia="zh-CN"/>
              </w:rPr>
              <w:t>0</w:t>
            </w:r>
          </w:p>
        </w:tc>
        <w:tc>
          <w:tcPr>
            <w:tcW w:w="1166"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cs="宋体"/>
                <w:color w:val="auto"/>
                <w:kern w:val="0"/>
                <w:sz w:val="21"/>
                <w:szCs w:val="21"/>
                <w:lang w:val="en-US" w:eastAsia="zh-CN"/>
              </w:rPr>
              <w:t>0</w:t>
            </w:r>
          </w:p>
        </w:tc>
      </w:tr>
      <w:tr>
        <w:tblPrEx>
          <w:tblCellMar>
            <w:top w:w="15" w:type="dxa"/>
            <w:left w:w="15" w:type="dxa"/>
            <w:bottom w:w="0" w:type="dxa"/>
            <w:right w:w="0" w:type="dxa"/>
          </w:tblCellMar>
        </w:tblPrEx>
        <w:trPr>
          <w:trHeight w:val="593"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规范性文件</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cs="宋体"/>
                <w:color w:val="auto"/>
                <w:kern w:val="0"/>
                <w:sz w:val="21"/>
                <w:szCs w:val="21"/>
                <w:lang w:val="en-US" w:eastAsia="zh-CN"/>
              </w:rPr>
              <w:t>0</w:t>
            </w:r>
          </w:p>
        </w:tc>
        <w:tc>
          <w:tcPr>
            <w:tcW w:w="773" w:type="pct"/>
            <w:tcBorders>
              <w:bottom w:val="single" w:color="auto" w:sz="8"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166"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r>
      <w:tr>
        <w:tblPrEx>
          <w:tblCellMar>
            <w:top w:w="15" w:type="dxa"/>
            <w:left w:w="15" w:type="dxa"/>
            <w:bottom w:w="0" w:type="dxa"/>
            <w:right w:w="0" w:type="dxa"/>
          </w:tblCellMar>
        </w:tblPrEx>
        <w:trPr>
          <w:trHeight w:val="611" w:hRule="atLeast"/>
          <w:jc w:val="center"/>
        </w:trPr>
        <w:tc>
          <w:tcPr>
            <w:tcW w:w="5000" w:type="pct"/>
            <w:gridSpan w:val="4"/>
            <w:tcBorders>
              <w:bottom w:val="single" w:color="auto" w:sz="8" w:space="0"/>
            </w:tcBorders>
            <w:shd w:val="clear" w:color="auto" w:fill="C6D9F1"/>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第二十条第（五）项</w:t>
            </w:r>
          </w:p>
        </w:tc>
      </w:tr>
      <w:tr>
        <w:tblPrEx>
          <w:tblCellMar>
            <w:top w:w="15" w:type="dxa"/>
            <w:left w:w="15" w:type="dxa"/>
            <w:bottom w:w="0" w:type="dxa"/>
            <w:right w:w="0" w:type="dxa"/>
          </w:tblCellMar>
        </w:tblPrEx>
        <w:trPr>
          <w:trHeight w:val="366"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信息内容</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上一年项目数量</w:t>
            </w:r>
          </w:p>
        </w:tc>
        <w:tc>
          <w:tcPr>
            <w:tcW w:w="773" w:type="pct"/>
            <w:tcBorders>
              <w:bottom w:val="single" w:color="auto" w:sz="8"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本年增/减</w:t>
            </w:r>
          </w:p>
        </w:tc>
        <w:tc>
          <w:tcPr>
            <w:tcW w:w="1166"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处理决定数量</w:t>
            </w:r>
          </w:p>
        </w:tc>
      </w:tr>
      <w:tr>
        <w:tblPrEx>
          <w:tblCellMar>
            <w:top w:w="15" w:type="dxa"/>
            <w:left w:w="15" w:type="dxa"/>
            <w:bottom w:w="0" w:type="dxa"/>
            <w:right w:w="0" w:type="dxa"/>
          </w:tblCellMar>
        </w:tblPrEx>
        <w:trPr>
          <w:trHeight w:val="564"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2"/>
                <w:szCs w:val="22"/>
              </w:rPr>
              <w:t>行政许可</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773"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166"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54</w:t>
            </w:r>
          </w:p>
        </w:tc>
      </w:tr>
      <w:tr>
        <w:tblPrEx>
          <w:tblCellMar>
            <w:top w:w="15" w:type="dxa"/>
            <w:left w:w="15" w:type="dxa"/>
            <w:bottom w:w="0" w:type="dxa"/>
            <w:right w:w="0" w:type="dxa"/>
          </w:tblCellMar>
        </w:tblPrEx>
        <w:trPr>
          <w:trHeight w:val="564"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其他对外管理服务事项</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773"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cs="宋体"/>
                <w:color w:val="auto"/>
                <w:kern w:val="0"/>
                <w:sz w:val="21"/>
                <w:szCs w:val="21"/>
                <w:lang w:val="en-US" w:eastAsia="zh-CN"/>
              </w:rPr>
              <w:t>0</w:t>
            </w:r>
          </w:p>
        </w:tc>
        <w:tc>
          <w:tcPr>
            <w:tcW w:w="1166"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r>
      <w:tr>
        <w:tblPrEx>
          <w:tblCellMar>
            <w:top w:w="15" w:type="dxa"/>
            <w:left w:w="15" w:type="dxa"/>
            <w:bottom w:w="0" w:type="dxa"/>
            <w:right w:w="0" w:type="dxa"/>
          </w:tblCellMar>
        </w:tblPrEx>
        <w:trPr>
          <w:trHeight w:val="627" w:hRule="atLeast"/>
          <w:jc w:val="center"/>
        </w:trPr>
        <w:tc>
          <w:tcPr>
            <w:tcW w:w="5000" w:type="pct"/>
            <w:gridSpan w:val="4"/>
            <w:tcBorders>
              <w:bottom w:val="single" w:color="auto" w:sz="8" w:space="0"/>
            </w:tcBorders>
            <w:shd w:val="clear" w:color="auto" w:fill="C6D9F1"/>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第二十条第（六）项</w:t>
            </w:r>
          </w:p>
        </w:tc>
      </w:tr>
      <w:tr>
        <w:tblPrEx>
          <w:tblCellMar>
            <w:top w:w="15" w:type="dxa"/>
            <w:left w:w="15" w:type="dxa"/>
            <w:bottom w:w="0" w:type="dxa"/>
            <w:right w:w="0" w:type="dxa"/>
          </w:tblCellMar>
        </w:tblPrEx>
        <w:trPr>
          <w:trHeight w:val="594"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信息内容</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上一年项目数量</w:t>
            </w:r>
          </w:p>
        </w:tc>
        <w:tc>
          <w:tcPr>
            <w:tcW w:w="773" w:type="pct"/>
            <w:tcBorders>
              <w:bottom w:val="single" w:color="auto" w:sz="8"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本年增/减</w:t>
            </w:r>
          </w:p>
        </w:tc>
        <w:tc>
          <w:tcPr>
            <w:tcW w:w="1166"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处理决定数量</w:t>
            </w:r>
          </w:p>
        </w:tc>
      </w:tr>
      <w:tr>
        <w:tblPrEx>
          <w:tblCellMar>
            <w:top w:w="15" w:type="dxa"/>
            <w:left w:w="15" w:type="dxa"/>
            <w:bottom w:w="0" w:type="dxa"/>
            <w:right w:w="0" w:type="dxa"/>
          </w:tblCellMar>
        </w:tblPrEx>
        <w:trPr>
          <w:trHeight w:val="532"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行政处罚</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773"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17</w:t>
            </w:r>
          </w:p>
        </w:tc>
        <w:tc>
          <w:tcPr>
            <w:tcW w:w="1166"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r>
      <w:tr>
        <w:tblPrEx>
          <w:tblCellMar>
            <w:top w:w="15" w:type="dxa"/>
            <w:left w:w="15" w:type="dxa"/>
            <w:bottom w:w="0" w:type="dxa"/>
            <w:right w:w="0" w:type="dxa"/>
          </w:tblCellMar>
        </w:tblPrEx>
        <w:trPr>
          <w:trHeight w:val="526"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行政强制</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773"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166"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cs="宋体"/>
                <w:color w:val="auto"/>
                <w:kern w:val="0"/>
                <w:sz w:val="21"/>
                <w:szCs w:val="21"/>
                <w:lang w:val="en-US" w:eastAsia="zh-CN"/>
              </w:rPr>
              <w:t>0</w:t>
            </w:r>
          </w:p>
        </w:tc>
      </w:tr>
      <w:tr>
        <w:tblPrEx>
          <w:tblCellMar>
            <w:top w:w="15" w:type="dxa"/>
            <w:left w:w="15" w:type="dxa"/>
            <w:bottom w:w="0" w:type="dxa"/>
            <w:right w:w="0" w:type="dxa"/>
          </w:tblCellMar>
        </w:tblPrEx>
        <w:trPr>
          <w:trHeight w:val="660" w:hRule="atLeast"/>
          <w:jc w:val="center"/>
        </w:trPr>
        <w:tc>
          <w:tcPr>
            <w:tcW w:w="5000" w:type="pct"/>
            <w:gridSpan w:val="4"/>
            <w:tcBorders>
              <w:bottom w:val="single" w:color="auto" w:sz="8" w:space="0"/>
            </w:tcBorders>
            <w:shd w:val="clear" w:color="auto" w:fill="C6D9F1"/>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第二十条第（八）项</w:t>
            </w:r>
          </w:p>
        </w:tc>
      </w:tr>
      <w:tr>
        <w:tblPrEx>
          <w:tblCellMar>
            <w:top w:w="15" w:type="dxa"/>
            <w:left w:w="15" w:type="dxa"/>
            <w:bottom w:w="0" w:type="dxa"/>
            <w:right w:w="0" w:type="dxa"/>
          </w:tblCellMar>
        </w:tblPrEx>
        <w:trPr>
          <w:trHeight w:val="644"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信息内容</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上一年项目数量</w:t>
            </w:r>
          </w:p>
        </w:tc>
        <w:tc>
          <w:tcPr>
            <w:tcW w:w="1940" w:type="pct"/>
            <w:gridSpan w:val="2"/>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本年增/减</w:t>
            </w:r>
          </w:p>
        </w:tc>
      </w:tr>
      <w:tr>
        <w:tblPrEx>
          <w:tblCellMar>
            <w:top w:w="15" w:type="dxa"/>
            <w:left w:w="15" w:type="dxa"/>
            <w:bottom w:w="0" w:type="dxa"/>
            <w:right w:w="0" w:type="dxa"/>
          </w:tblCellMar>
        </w:tblPrEx>
        <w:trPr>
          <w:trHeight w:val="477"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2"/>
                <w:szCs w:val="22"/>
              </w:rPr>
              <w:t>行政事业性收费</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15</w:t>
            </w:r>
          </w:p>
        </w:tc>
        <w:tc>
          <w:tcPr>
            <w:tcW w:w="1940" w:type="pct"/>
            <w:gridSpan w:val="2"/>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r>
      <w:tr>
        <w:tblPrEx>
          <w:tblCellMar>
            <w:top w:w="15" w:type="dxa"/>
            <w:left w:w="15" w:type="dxa"/>
            <w:bottom w:w="0" w:type="dxa"/>
            <w:right w:w="0" w:type="dxa"/>
          </w:tblCellMar>
        </w:tblPrEx>
        <w:trPr>
          <w:trHeight w:val="611" w:hRule="atLeast"/>
          <w:jc w:val="center"/>
        </w:trPr>
        <w:tc>
          <w:tcPr>
            <w:tcW w:w="5000" w:type="pct"/>
            <w:gridSpan w:val="4"/>
            <w:tcBorders>
              <w:bottom w:val="single" w:color="auto" w:sz="8" w:space="0"/>
            </w:tcBorders>
            <w:shd w:val="clear" w:color="auto" w:fill="C6D9F1"/>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第二十条第（九）项</w:t>
            </w:r>
          </w:p>
        </w:tc>
      </w:tr>
      <w:tr>
        <w:tblPrEx>
          <w:tblCellMar>
            <w:top w:w="15" w:type="dxa"/>
            <w:left w:w="15" w:type="dxa"/>
            <w:bottom w:w="0" w:type="dxa"/>
            <w:right w:w="0" w:type="dxa"/>
          </w:tblCellMar>
        </w:tblPrEx>
        <w:trPr>
          <w:trHeight w:val="676"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信息内容</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采购项目数量</w:t>
            </w:r>
          </w:p>
        </w:tc>
        <w:tc>
          <w:tcPr>
            <w:tcW w:w="1940" w:type="pct"/>
            <w:gridSpan w:val="2"/>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2"/>
                <w:szCs w:val="22"/>
              </w:rPr>
              <w:t>采购总金额</w:t>
            </w:r>
          </w:p>
        </w:tc>
      </w:tr>
      <w:tr>
        <w:tblPrEx>
          <w:tblCellMar>
            <w:top w:w="15" w:type="dxa"/>
            <w:left w:w="15" w:type="dxa"/>
            <w:bottom w:w="0" w:type="dxa"/>
            <w:right w:w="0" w:type="dxa"/>
          </w:tblCellMar>
        </w:tblPrEx>
        <w:trPr>
          <w:trHeight w:val="655" w:hRule="atLeast"/>
          <w:jc w:val="center"/>
        </w:trPr>
        <w:tc>
          <w:tcPr>
            <w:tcW w:w="1907"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2"/>
                <w:szCs w:val="22"/>
              </w:rPr>
              <w:t>政府集中采购</w:t>
            </w:r>
          </w:p>
        </w:tc>
        <w:tc>
          <w:tcPr>
            <w:tcW w:w="1152" w:type="pct"/>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rPr>
            </w:pPr>
            <w:r>
              <w:rPr>
                <w:rFonts w:hint="eastAsia" w:ascii="宋体" w:hAnsi="宋体" w:cs="宋体"/>
                <w:color w:val="auto"/>
                <w:kern w:val="0"/>
                <w:sz w:val="21"/>
                <w:szCs w:val="21"/>
                <w:lang w:val="en-US" w:eastAsia="zh-CN"/>
              </w:rPr>
              <w:t>146</w:t>
            </w:r>
          </w:p>
        </w:tc>
        <w:tc>
          <w:tcPr>
            <w:tcW w:w="1940" w:type="pct"/>
            <w:gridSpan w:val="2"/>
            <w:tcBorders>
              <w:bottom w:val="single" w:color="auto" w:sz="8"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4764.33万元</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left="480" w:leftChars="0"/>
        <w:textAlignment w:val="auto"/>
        <w:rPr>
          <w:rFonts w:hint="eastAsia"/>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收到和处理政府信息公开申请情况</w:t>
      </w:r>
    </w:p>
    <w:tbl>
      <w:tblPr>
        <w:tblStyle w:val="6"/>
        <w:tblW w:w="5026" w:type="pct"/>
        <w:jc w:val="center"/>
        <w:tblBorders>
          <w:top w:val="outset" w:color="auto" w:sz="6" w:space="0"/>
          <w:left w:val="outset" w:color="auto" w:sz="6" w:space="0"/>
          <w:bottom w:val="none" w:color="auto" w:sz="0" w:space="0"/>
          <w:right w:val="outset" w:color="auto" w:sz="6" w:space="0"/>
          <w:insideH w:val="none" w:color="auto" w:sz="0" w:space="0"/>
          <w:insideV w:val="none" w:color="auto" w:sz="0" w:space="0"/>
        </w:tblBorders>
        <w:tblLayout w:type="autofit"/>
        <w:tblCellMar>
          <w:top w:w="15" w:type="dxa"/>
          <w:left w:w="15" w:type="dxa"/>
          <w:bottom w:w="0" w:type="dxa"/>
          <w:right w:w="0" w:type="dxa"/>
        </w:tblCellMar>
      </w:tblPr>
      <w:tblGrid>
        <w:gridCol w:w="606"/>
        <w:gridCol w:w="624"/>
        <w:gridCol w:w="2103"/>
        <w:gridCol w:w="624"/>
        <w:gridCol w:w="808"/>
        <w:gridCol w:w="813"/>
        <w:gridCol w:w="813"/>
        <w:gridCol w:w="781"/>
        <w:gridCol w:w="514"/>
        <w:gridCol w:w="679"/>
      </w:tblGrid>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422" w:hRule="atLeast"/>
          <w:jc w:val="center"/>
        </w:trPr>
        <w:tc>
          <w:tcPr>
            <w:tcW w:w="1992" w:type="pct"/>
            <w:gridSpan w:val="3"/>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（本列数据的勾稽关系为：第一项加第二项之和，等于第三项加第四项之和）</w:t>
            </w:r>
          </w:p>
        </w:tc>
        <w:tc>
          <w:tcPr>
            <w:tcW w:w="3007" w:type="pct"/>
            <w:gridSpan w:val="7"/>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申请人情况</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394" w:hRule="atLeast"/>
          <w:jc w:val="center"/>
        </w:trPr>
        <w:tc>
          <w:tcPr>
            <w:tcW w:w="1992" w:type="pct"/>
            <w:gridSpan w:val="3"/>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自然人</w:t>
            </w:r>
          </w:p>
        </w:tc>
        <w:tc>
          <w:tcPr>
            <w:tcW w:w="2229" w:type="pct"/>
            <w:gridSpan w:val="5"/>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法人或其他组织</w:t>
            </w:r>
          </w:p>
        </w:tc>
        <w:tc>
          <w:tcPr>
            <w:tcW w:w="405"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总计</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6" w:hRule="atLeast"/>
          <w:jc w:val="center"/>
        </w:trPr>
        <w:tc>
          <w:tcPr>
            <w:tcW w:w="1992" w:type="pct"/>
            <w:gridSpan w:val="3"/>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商业企业</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科研机构</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社会公益组织</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法律服务机构</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405"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17" w:hRule="atLeast"/>
          <w:jc w:val="center"/>
        </w:trPr>
        <w:tc>
          <w:tcPr>
            <w:tcW w:w="1992" w:type="pct"/>
            <w:gridSpan w:val="3"/>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一、本年新收政府信息公开申请数量</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cs="Calibri"/>
                <w:color w:val="auto"/>
                <w:kern w:val="0"/>
                <w:sz w:val="20"/>
                <w:szCs w:val="20"/>
                <w:lang w:val="en-US" w:eastAsia="zh-CN"/>
              </w:rPr>
              <w:t>1</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cs="Calibri"/>
                <w:color w:val="auto"/>
                <w:kern w:val="0"/>
                <w:sz w:val="20"/>
                <w:szCs w:val="20"/>
                <w:lang w:val="en-US" w:eastAsia="zh-CN"/>
              </w:rPr>
              <w:t>1</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374" w:hRule="atLeast"/>
          <w:jc w:val="center"/>
        </w:trPr>
        <w:tc>
          <w:tcPr>
            <w:tcW w:w="1992" w:type="pct"/>
            <w:gridSpan w:val="3"/>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二、上年结转政府信息公开申请数量</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lang w:val="en-US" w:eastAsia="zh-CN" w:bidi="ar-SA"/>
              </w:rPr>
            </w:pPr>
            <w:r>
              <w:rPr>
                <w:rFonts w:hint="eastAsia" w:cs="Calibri"/>
                <w:color w:val="auto"/>
                <w:kern w:val="0"/>
                <w:sz w:val="20"/>
                <w:szCs w:val="20"/>
                <w:lang w:val="en-US" w:eastAsia="zh-CN"/>
              </w:rPr>
              <w:t>0</w:t>
            </w:r>
            <w:r>
              <w:rPr>
                <w:rFonts w:ascii="Calibri" w:hAnsi="Calibri" w:eastAsia="宋体" w:cs="Calibri"/>
                <w:color w:val="auto"/>
                <w:kern w:val="0"/>
                <w:sz w:val="20"/>
                <w:szCs w:val="20"/>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ascii="宋体" w:hAnsi="宋体" w:eastAsia="宋体" w:cs="宋体"/>
                <w:color w:val="auto"/>
                <w:kern w:val="0"/>
                <w:sz w:val="18"/>
                <w:szCs w:val="18"/>
              </w:rPr>
              <w:t> </w:t>
            </w:r>
            <w:r>
              <w:rPr>
                <w:rFonts w:hint="eastAsia" w:ascii="宋体" w:hAnsi="宋体" w:cs="宋体"/>
                <w:color w:val="auto"/>
                <w:kern w:val="0"/>
                <w:sz w:val="18"/>
                <w:szCs w:val="18"/>
                <w:lang w:val="en-US" w:eastAsia="zh-CN"/>
              </w:rPr>
              <w:t>0</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478" w:hRule="atLeast"/>
          <w:jc w:val="center"/>
        </w:trPr>
        <w:tc>
          <w:tcPr>
            <w:tcW w:w="362"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三、</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本年度办理结果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1629" w:type="pct"/>
            <w:gridSpan w:val="2"/>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（一）予以公开</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18"/>
                <w:szCs w:val="18"/>
                <w:lang w:val="en-US" w:eastAsia="zh-CN"/>
              </w:rPr>
            </w:pPr>
            <w:r>
              <w:rPr>
                <w:rFonts w:hint="eastAsia" w:cs="Calibri"/>
                <w:color w:val="auto"/>
                <w:kern w:val="0"/>
                <w:sz w:val="20"/>
                <w:szCs w:val="20"/>
                <w:lang w:val="en-US" w:eastAsia="zh-CN"/>
              </w:rPr>
              <w:t>1</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cs="Calibri"/>
                <w:color w:val="auto"/>
                <w:kern w:val="0"/>
                <w:sz w:val="20"/>
                <w:szCs w:val="20"/>
                <w:lang w:val="en-US" w:eastAsia="zh-CN"/>
              </w:rPr>
              <w:t>1</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629" w:type="pct"/>
            <w:gridSpan w:val="2"/>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（二）部分公开（区分处理的，只计这一情形，不计其他情形）</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（三）不予公开</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1.属于国家秘密</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2.其他法律行政法规禁止公开</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3.危及“三安全一稳定”</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4.保护第三方合法权益</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5.属于三类内部事务信息</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6.属于四类过程性信息</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7.属于行政执法案卷</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8.属于行政查询事项</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（四）无法提供</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1.本机关不掌握相关政府信息</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2.没有现成信息需要另行制作</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3.补正后申请内容仍不明确</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（五）不予处理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1.信访举报投诉类申请</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2.重复申请</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9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3.要求提供公开出版物</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4.无正当理由大量反复申请</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76"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373"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25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5.要求行政机关确认或重新出具已获取信息</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120"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629" w:type="pct"/>
            <w:gridSpan w:val="2"/>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（六）其他处理</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cs="Calibri"/>
                <w:color w:val="auto"/>
                <w:kern w:val="0"/>
                <w:sz w:val="20"/>
                <w:szCs w:val="20"/>
                <w:lang w:val="en-US" w:eastAsia="zh-CN"/>
              </w:rPr>
              <w:t>0</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491" w:hRule="atLeast"/>
          <w:jc w:val="center"/>
        </w:trPr>
        <w:tc>
          <w:tcPr>
            <w:tcW w:w="362"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p>
        </w:tc>
        <w:tc>
          <w:tcPr>
            <w:tcW w:w="1629" w:type="pct"/>
            <w:gridSpan w:val="2"/>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18"/>
                <w:szCs w:val="18"/>
              </w:rPr>
            </w:pPr>
            <w:r>
              <w:rPr>
                <w:rFonts w:hint="eastAsia" w:ascii="楷体" w:hAnsi="楷体" w:eastAsia="楷体" w:cs="宋体"/>
                <w:color w:val="auto"/>
                <w:kern w:val="0"/>
                <w:sz w:val="20"/>
                <w:szCs w:val="20"/>
              </w:rPr>
              <w:t>（七）总计</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Calibri" w:hAnsi="Calibri" w:eastAsia="宋体" w:cs="Calibri"/>
                <w:color w:val="auto"/>
                <w:kern w:val="0"/>
                <w:sz w:val="20"/>
                <w:szCs w:val="20"/>
              </w:rPr>
              <w:t> </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ascii="宋体" w:hAnsi="宋体" w:eastAsia="宋体" w:cs="宋体"/>
                <w:color w:val="auto"/>
                <w:kern w:val="0"/>
                <w:sz w:val="18"/>
                <w:szCs w:val="18"/>
              </w:rPr>
              <w:t> </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cs="Calibri"/>
                <w:color w:val="auto"/>
                <w:kern w:val="0"/>
                <w:sz w:val="20"/>
                <w:szCs w:val="20"/>
                <w:lang w:val="en-US" w:eastAsia="zh-CN"/>
              </w:rPr>
              <w:t>1</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479" w:hRule="atLeast"/>
          <w:jc w:val="center"/>
        </w:trPr>
        <w:tc>
          <w:tcPr>
            <w:tcW w:w="1992" w:type="pct"/>
            <w:gridSpan w:val="3"/>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20"/>
                <w:szCs w:val="20"/>
              </w:rPr>
              <w:t>四、结转下年度继续办理</w:t>
            </w:r>
          </w:p>
        </w:tc>
        <w:tc>
          <w:tcPr>
            <w:tcW w:w="37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18"/>
                <w:szCs w:val="18"/>
              </w:rPr>
            </w:pPr>
            <w:r>
              <w:rPr>
                <w:rFonts w:hint="eastAsia" w:cs="Calibri"/>
                <w:color w:val="auto"/>
                <w:kern w:val="0"/>
                <w:sz w:val="20"/>
                <w:szCs w:val="20"/>
                <w:lang w:val="en-US" w:eastAsia="zh-CN"/>
              </w:rPr>
              <w:t>0</w:t>
            </w:r>
            <w:r>
              <w:rPr>
                <w:rFonts w:ascii="Calibri" w:hAnsi="Calibri" w:eastAsia="宋体" w:cs="Calibri"/>
                <w:color w:val="auto"/>
                <w:kern w:val="0"/>
                <w:sz w:val="20"/>
                <w:szCs w:val="20"/>
              </w:rPr>
              <w:t> </w:t>
            </w:r>
          </w:p>
        </w:tc>
        <w:tc>
          <w:tcPr>
            <w:tcW w:w="48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86"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ascii="宋体" w:hAnsi="宋体" w:eastAsia="宋体" w:cs="宋体"/>
                <w:color w:val="auto"/>
                <w:kern w:val="0"/>
                <w:sz w:val="18"/>
                <w:szCs w:val="18"/>
              </w:rPr>
              <w:t> </w:t>
            </w:r>
            <w:r>
              <w:rPr>
                <w:rFonts w:hint="eastAsia" w:ascii="宋体" w:hAnsi="宋体" w:cs="宋体"/>
                <w:color w:val="auto"/>
                <w:kern w:val="0"/>
                <w:sz w:val="18"/>
                <w:szCs w:val="18"/>
                <w:lang w:val="en-US" w:eastAsia="zh-CN"/>
              </w:rPr>
              <w:t>0</w:t>
            </w:r>
          </w:p>
        </w:tc>
        <w:tc>
          <w:tcPr>
            <w:tcW w:w="467"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304"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40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150"/>
        <w:textAlignment w:val="auto"/>
        <w:rPr>
          <w:rFonts w:hint="eastAsia" w:ascii="宋体" w:hAnsi="宋体" w:eastAsia="宋体" w:cs="宋体"/>
          <w:color w:val="auto"/>
          <w:kern w:val="0"/>
          <w:sz w:val="24"/>
          <w:szCs w:val="24"/>
        </w:rPr>
      </w:pPr>
      <w:r>
        <w:rPr>
          <w:rFonts w:hint="eastAsia" w:ascii="黑体" w:hAnsi="黑体" w:eastAsia="黑体" w:cs="黑体"/>
          <w:b w:val="0"/>
          <w:bCs w:val="0"/>
          <w:color w:val="auto"/>
          <w:kern w:val="0"/>
          <w:sz w:val="32"/>
          <w:szCs w:val="32"/>
        </w:rPr>
        <w:t>四、政府信息公开行政复议、行政诉讼情况</w:t>
      </w:r>
    </w:p>
    <w:tbl>
      <w:tblPr>
        <w:tblStyle w:val="6"/>
        <w:tblpPr w:leftFromText="180" w:rightFromText="180" w:vertAnchor="text" w:horzAnchor="page" w:tblpX="1615" w:tblpY="5"/>
        <w:tblOverlap w:val="never"/>
        <w:tblW w:w="5189" w:type="pct"/>
        <w:tblInd w:w="0" w:type="dxa"/>
        <w:tblBorders>
          <w:top w:val="outset" w:color="auto" w:sz="6" w:space="0"/>
          <w:left w:val="outset" w:color="auto" w:sz="6" w:space="0"/>
          <w:bottom w:val="none" w:color="auto" w:sz="0" w:space="0"/>
          <w:right w:val="outset" w:color="auto" w:sz="6" w:space="0"/>
          <w:insideH w:val="none" w:color="auto" w:sz="0" w:space="0"/>
          <w:insideV w:val="none" w:color="auto" w:sz="0" w:space="0"/>
        </w:tblBorders>
        <w:tblLayout w:type="autofit"/>
        <w:tblCellMar>
          <w:top w:w="15" w:type="dxa"/>
          <w:left w:w="15" w:type="dxa"/>
          <w:bottom w:w="0" w:type="dxa"/>
          <w:right w:w="0" w:type="dxa"/>
        </w:tblCellMar>
      </w:tblPr>
      <w:tblGrid>
        <w:gridCol w:w="567"/>
        <w:gridCol w:w="567"/>
        <w:gridCol w:w="570"/>
        <w:gridCol w:w="570"/>
        <w:gridCol w:w="643"/>
        <w:gridCol w:w="510"/>
        <w:gridCol w:w="570"/>
        <w:gridCol w:w="570"/>
        <w:gridCol w:w="570"/>
        <w:gridCol w:w="612"/>
        <w:gridCol w:w="570"/>
        <w:gridCol w:w="570"/>
        <w:gridCol w:w="570"/>
        <w:gridCol w:w="570"/>
        <w:gridCol w:w="608"/>
      </w:tblGrid>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668" w:hRule="atLeast"/>
        </w:trPr>
        <w:tc>
          <w:tcPr>
            <w:tcW w:w="1688" w:type="pct"/>
            <w:gridSpan w:val="5"/>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行政复议</w:t>
            </w:r>
          </w:p>
        </w:tc>
        <w:tc>
          <w:tcPr>
            <w:tcW w:w="3311" w:type="pct"/>
            <w:gridSpan w:val="10"/>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行政诉讼</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673" w:hRule="atLeast"/>
        </w:trPr>
        <w:tc>
          <w:tcPr>
            <w:tcW w:w="328"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结果维持</w:t>
            </w:r>
          </w:p>
        </w:tc>
        <w:tc>
          <w:tcPr>
            <w:tcW w:w="328"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结果纠正</w:t>
            </w:r>
          </w:p>
        </w:tc>
        <w:tc>
          <w:tcPr>
            <w:tcW w:w="330"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其他结果</w:t>
            </w:r>
          </w:p>
        </w:tc>
        <w:tc>
          <w:tcPr>
            <w:tcW w:w="330"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尚未审结</w:t>
            </w:r>
          </w:p>
        </w:tc>
        <w:tc>
          <w:tcPr>
            <w:tcW w:w="371" w:type="pct"/>
            <w:vMerge w:val="restar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总计</w:t>
            </w:r>
          </w:p>
        </w:tc>
        <w:tc>
          <w:tcPr>
            <w:tcW w:w="1639" w:type="pct"/>
            <w:gridSpan w:val="5"/>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未经复议直接起诉</w:t>
            </w:r>
          </w:p>
        </w:tc>
        <w:tc>
          <w:tcPr>
            <w:tcW w:w="1671" w:type="pct"/>
            <w:gridSpan w:val="5"/>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复议后起诉</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905" w:hRule="atLeast"/>
        </w:trPr>
        <w:tc>
          <w:tcPr>
            <w:tcW w:w="328"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p>
        </w:tc>
        <w:tc>
          <w:tcPr>
            <w:tcW w:w="328"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p>
        </w:tc>
        <w:tc>
          <w:tcPr>
            <w:tcW w:w="330"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p>
        </w:tc>
        <w:tc>
          <w:tcPr>
            <w:tcW w:w="330"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p>
        </w:tc>
        <w:tc>
          <w:tcPr>
            <w:tcW w:w="371" w:type="pct"/>
            <w:vMerge w:val="continue"/>
            <w:tcBorders>
              <w:top w:val="outset" w:color="auto" w:sz="6" w:space="0"/>
              <w:left w:val="outset" w:color="auto" w:sz="6" w:space="0"/>
              <w:bottom w:val="single" w:color="auto" w:sz="8"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p>
        </w:tc>
        <w:tc>
          <w:tcPr>
            <w:tcW w:w="29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结果维持</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结果纠正</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其他结果</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尚未审结</w:t>
            </w:r>
          </w:p>
        </w:tc>
        <w:tc>
          <w:tcPr>
            <w:tcW w:w="35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总计</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结果维持</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结果纠正</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其他结果</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尚未审结</w:t>
            </w:r>
          </w:p>
        </w:tc>
        <w:tc>
          <w:tcPr>
            <w:tcW w:w="351"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总计</w:t>
            </w:r>
          </w:p>
        </w:tc>
      </w:tr>
      <w:tr>
        <w:tblPrEx>
          <w:tblBorders>
            <w:top w:val="outset" w:color="auto" w:sz="6" w:space="0"/>
            <w:left w:val="outset" w:color="auto" w:sz="6" w:space="0"/>
            <w:bottom w:val="none" w:color="auto" w:sz="0" w:space="0"/>
            <w:right w:val="outset" w:color="auto" w:sz="6" w:space="0"/>
            <w:insideH w:val="none" w:color="auto" w:sz="0" w:space="0"/>
            <w:insideV w:val="none" w:color="auto" w:sz="0" w:space="0"/>
          </w:tblBorders>
          <w:tblCellMar>
            <w:top w:w="15" w:type="dxa"/>
            <w:left w:w="15" w:type="dxa"/>
            <w:bottom w:w="0" w:type="dxa"/>
            <w:right w:w="0" w:type="dxa"/>
          </w:tblCellMar>
        </w:tblPrEx>
        <w:trPr>
          <w:trHeight w:val="693" w:hRule="atLeast"/>
        </w:trPr>
        <w:tc>
          <w:tcPr>
            <w:tcW w:w="328"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0</w:t>
            </w:r>
          </w:p>
        </w:tc>
        <w:tc>
          <w:tcPr>
            <w:tcW w:w="328"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0</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0</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0</w:t>
            </w:r>
          </w:p>
        </w:tc>
        <w:tc>
          <w:tcPr>
            <w:tcW w:w="371"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c>
          <w:tcPr>
            <w:tcW w:w="295"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c>
          <w:tcPr>
            <w:tcW w:w="353"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c>
          <w:tcPr>
            <w:tcW w:w="330"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c>
          <w:tcPr>
            <w:tcW w:w="351" w:type="pct"/>
            <w:tcBorders>
              <w:top w:val="outset" w:color="auto" w:sz="6" w:space="0"/>
              <w:left w:val="outset" w:color="auto" w:sz="6" w:space="0"/>
              <w:bottom w:val="single" w:color="auto" w:sz="8" w:space="0"/>
              <w:right w:val="outset"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我局虽然设专职人员负责进行信息公开，但因为专职人员对信息公开认识不足、不专业，很多内容公开不及时，不全面。</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我局将严格贯彻落实关于政府信息公开工作的各项要求，按照区政府信息公开领导小组办公室有关文件精神，更加积极主动、严谨细致地做好我局政府信息公开工作，确保我局政务信息及时、完整、准确发布。</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白银区住房和城乡建设局</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2020年1月21日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7F75B"/>
    <w:multiLevelType w:val="singleLevel"/>
    <w:tmpl w:val="CAF7F7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E4C39"/>
    <w:rsid w:val="013D3549"/>
    <w:rsid w:val="02826BDF"/>
    <w:rsid w:val="03303FCA"/>
    <w:rsid w:val="06A33E01"/>
    <w:rsid w:val="0A297937"/>
    <w:rsid w:val="0AD312CC"/>
    <w:rsid w:val="0C7E7393"/>
    <w:rsid w:val="0CA35E89"/>
    <w:rsid w:val="0D7F4077"/>
    <w:rsid w:val="0EA51B6A"/>
    <w:rsid w:val="0EE939F4"/>
    <w:rsid w:val="148F3E50"/>
    <w:rsid w:val="1C7018A7"/>
    <w:rsid w:val="1D84492B"/>
    <w:rsid w:val="1E581DAC"/>
    <w:rsid w:val="205E21C7"/>
    <w:rsid w:val="25CF1937"/>
    <w:rsid w:val="25D966A1"/>
    <w:rsid w:val="26265A28"/>
    <w:rsid w:val="28905158"/>
    <w:rsid w:val="2A5178CD"/>
    <w:rsid w:val="2B7041E4"/>
    <w:rsid w:val="2BAC1C5F"/>
    <w:rsid w:val="2BB414D2"/>
    <w:rsid w:val="2C8000EF"/>
    <w:rsid w:val="2D543475"/>
    <w:rsid w:val="2D96216B"/>
    <w:rsid w:val="2DDC76DE"/>
    <w:rsid w:val="2E5C3488"/>
    <w:rsid w:val="2E805B53"/>
    <w:rsid w:val="2F0A1064"/>
    <w:rsid w:val="2FEA2E42"/>
    <w:rsid w:val="308862DA"/>
    <w:rsid w:val="3471595D"/>
    <w:rsid w:val="35936F36"/>
    <w:rsid w:val="35F112F5"/>
    <w:rsid w:val="39615660"/>
    <w:rsid w:val="3C5014A5"/>
    <w:rsid w:val="3D6B265E"/>
    <w:rsid w:val="3DC16C17"/>
    <w:rsid w:val="3DEC5B90"/>
    <w:rsid w:val="3E9768B1"/>
    <w:rsid w:val="3EB40CD0"/>
    <w:rsid w:val="3ECB5CE1"/>
    <w:rsid w:val="3FC66DEB"/>
    <w:rsid w:val="40890D17"/>
    <w:rsid w:val="41357D4A"/>
    <w:rsid w:val="42404F07"/>
    <w:rsid w:val="444B7F23"/>
    <w:rsid w:val="44D613E9"/>
    <w:rsid w:val="455616F3"/>
    <w:rsid w:val="471124D2"/>
    <w:rsid w:val="47937A3D"/>
    <w:rsid w:val="47A223E1"/>
    <w:rsid w:val="47A854FE"/>
    <w:rsid w:val="498559E0"/>
    <w:rsid w:val="4A0F6DCB"/>
    <w:rsid w:val="4B321E7A"/>
    <w:rsid w:val="4B75736C"/>
    <w:rsid w:val="4D3A2148"/>
    <w:rsid w:val="4DFB1583"/>
    <w:rsid w:val="4F8E4E08"/>
    <w:rsid w:val="52867707"/>
    <w:rsid w:val="55150B9A"/>
    <w:rsid w:val="56C4470D"/>
    <w:rsid w:val="56FE4C39"/>
    <w:rsid w:val="57EF6B2C"/>
    <w:rsid w:val="57FE034E"/>
    <w:rsid w:val="595B1396"/>
    <w:rsid w:val="5B692F9F"/>
    <w:rsid w:val="5CB362F0"/>
    <w:rsid w:val="5CC153C5"/>
    <w:rsid w:val="5EBB4F64"/>
    <w:rsid w:val="66E2113B"/>
    <w:rsid w:val="676C4680"/>
    <w:rsid w:val="678E3897"/>
    <w:rsid w:val="706F2606"/>
    <w:rsid w:val="711649B9"/>
    <w:rsid w:val="722C0D3F"/>
    <w:rsid w:val="733208B6"/>
    <w:rsid w:val="751F7541"/>
    <w:rsid w:val="75542D5D"/>
    <w:rsid w:val="779B6C2C"/>
    <w:rsid w:val="78EC1FC3"/>
    <w:rsid w:val="795F3749"/>
    <w:rsid w:val="798805D4"/>
    <w:rsid w:val="7AD318A7"/>
    <w:rsid w:val="7AE47018"/>
    <w:rsid w:val="7B0910D8"/>
    <w:rsid w:val="7B2E21B6"/>
    <w:rsid w:val="7D5A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样式1"/>
    <w:basedOn w:val="1"/>
    <w:qFormat/>
    <w:uiPriority w:val="0"/>
    <w:pPr>
      <w:spacing w:line="560" w:lineRule="exact"/>
      <w:ind w:firstLine="420" w:firstLineChars="200"/>
    </w:pPr>
    <w:rPr>
      <w:rFonts w:eastAsia="仿宋" w:asciiTheme="minorAscii" w:hAnsiTheme="minorAscii" w:cstheme="minorBidi"/>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2020-01-16T01:50:00Z</dcterms:created>
  <dc:creator>墨尔本的晴天1380427166</dc:creator>
  <cp:lastModifiedBy>东篱南山</cp:lastModifiedBy>
  <dcterms:modified xsi:type="dcterms:W3CDTF">2020-01-21T08:13:22Z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