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人社领域高频政务服务“跨省通办”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事项清单（33项）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9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215" w:type="dxa"/>
            <w:gridSpan w:val="4"/>
            <w:noWrap w:val="0"/>
            <w:vAlign w:val="center"/>
          </w:tcPr>
          <w:p>
            <w:pPr>
              <w:jc w:val="center"/>
              <w:rPr>
                <w:rFonts w:ascii="黑体" w:hAnsi="黑体" w:eastAsia="黑体" w:cs="黑体"/>
                <w:b/>
                <w:sz w:val="22"/>
                <w:szCs w:val="28"/>
              </w:rPr>
            </w:pPr>
            <w:r>
              <w:rPr>
                <w:rFonts w:hint="eastAsia" w:ascii="黑体" w:hAnsi="黑体" w:eastAsia="黑体"/>
                <w:sz w:val="28"/>
              </w:rPr>
              <w:t>2020年底前实现“跨省通办”的事项（16项）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0" w:type="dxa"/>
            <w:noWrap w:val="0"/>
            <w:vAlign w:val="center"/>
          </w:tcPr>
          <w:p>
            <w:pPr>
              <w:jc w:val="center"/>
              <w:rPr>
                <w:rFonts w:ascii="黑体" w:hAnsi="黑体" w:eastAsia="黑体" w:cs="黑体"/>
                <w:b/>
                <w:sz w:val="22"/>
                <w:szCs w:val="28"/>
              </w:rPr>
            </w:pPr>
            <w:r>
              <w:rPr>
                <w:rFonts w:hint="eastAsia" w:ascii="黑体" w:hAnsi="黑体" w:eastAsia="黑体" w:cs="黑体"/>
                <w:b/>
                <w:sz w:val="22"/>
                <w:szCs w:val="28"/>
              </w:rPr>
              <w:t>序号</w:t>
            </w:r>
          </w:p>
        </w:tc>
        <w:tc>
          <w:tcPr>
            <w:tcW w:w="2409" w:type="dxa"/>
            <w:noWrap w:val="0"/>
            <w:vAlign w:val="center"/>
          </w:tcPr>
          <w:p>
            <w:pPr>
              <w:jc w:val="center"/>
              <w:rPr>
                <w:rFonts w:ascii="黑体" w:hAnsi="黑体" w:eastAsia="黑体" w:cs="黑体"/>
                <w:b/>
                <w:sz w:val="22"/>
                <w:szCs w:val="28"/>
              </w:rPr>
            </w:pPr>
            <w:r>
              <w:rPr>
                <w:rFonts w:hint="eastAsia" w:ascii="黑体" w:hAnsi="黑体" w:eastAsia="黑体" w:cs="黑体"/>
                <w:b/>
                <w:sz w:val="22"/>
                <w:szCs w:val="28"/>
              </w:rPr>
              <w:t>“跨省通办”事项</w:t>
            </w:r>
          </w:p>
        </w:tc>
        <w:tc>
          <w:tcPr>
            <w:tcW w:w="4962" w:type="dxa"/>
            <w:noWrap w:val="0"/>
            <w:vAlign w:val="center"/>
          </w:tcPr>
          <w:p>
            <w:pPr>
              <w:ind w:firstLine="110" w:firstLineChars="50"/>
              <w:jc w:val="center"/>
              <w:rPr>
                <w:rFonts w:ascii="黑体" w:hAnsi="黑体" w:eastAsia="黑体" w:cs="黑体"/>
                <w:b/>
                <w:sz w:val="22"/>
                <w:szCs w:val="28"/>
              </w:rPr>
            </w:pPr>
            <w:r>
              <w:rPr>
                <w:rFonts w:hint="eastAsia" w:ascii="黑体" w:hAnsi="黑体" w:eastAsia="黑体" w:cs="黑体"/>
                <w:b/>
                <w:sz w:val="22"/>
                <w:szCs w:val="28"/>
              </w:rPr>
              <w:t>应用场景</w:t>
            </w:r>
          </w:p>
        </w:tc>
        <w:tc>
          <w:tcPr>
            <w:tcW w:w="1134" w:type="dxa"/>
            <w:noWrap w:val="0"/>
            <w:vAlign w:val="center"/>
          </w:tcPr>
          <w:p>
            <w:pPr>
              <w:jc w:val="center"/>
              <w:rPr>
                <w:rFonts w:ascii="黑体" w:hAnsi="黑体" w:eastAsia="黑体" w:cs="黑体"/>
                <w:b/>
                <w:sz w:val="22"/>
                <w:szCs w:val="28"/>
              </w:rPr>
            </w:pPr>
            <w:r>
              <w:rPr>
                <w:rFonts w:hint="eastAsia" w:ascii="黑体" w:hAnsi="黑体" w:eastAsia="黑体" w:cs="黑体"/>
                <w:b/>
                <w:sz w:val="22"/>
                <w:szCs w:val="28"/>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10" w:type="dxa"/>
            <w:noWrap w:val="0"/>
            <w:vAlign w:val="center"/>
          </w:tcPr>
          <w:p>
            <w:pPr>
              <w:jc w:val="center"/>
              <w:rPr>
                <w:color w:val="333333"/>
                <w:sz w:val="20"/>
                <w:szCs w:val="20"/>
              </w:rPr>
            </w:pPr>
            <w:r>
              <w:rPr>
                <w:rFonts w:hint="eastAsia"/>
                <w:color w:val="333333"/>
                <w:sz w:val="20"/>
                <w:szCs w:val="20"/>
              </w:rPr>
              <w:t>1</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失业登记</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申请人可在居住地、工作地、参保地或户籍地申请失业登记，不受地域限制。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省就业局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710" w:type="dxa"/>
            <w:noWrap w:val="0"/>
            <w:vAlign w:val="center"/>
          </w:tcPr>
          <w:p>
            <w:pPr>
              <w:jc w:val="center"/>
              <w:rPr>
                <w:color w:val="333333"/>
                <w:sz w:val="20"/>
                <w:szCs w:val="20"/>
              </w:rPr>
            </w:pPr>
            <w:r>
              <w:rPr>
                <w:rFonts w:hint="eastAsia"/>
                <w:color w:val="333333"/>
                <w:sz w:val="20"/>
                <w:szCs w:val="20"/>
              </w:rPr>
              <w:t>2</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社会保险个人权益记录单查询打印（养老保险、工伤保险、失业保险等）</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申请人可异地查询、打印本人名下各地、各年度社会保险个人权益记录单，不受地域限制。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10" w:type="dxa"/>
            <w:noWrap w:val="0"/>
            <w:vAlign w:val="center"/>
          </w:tcPr>
          <w:p>
            <w:pPr>
              <w:jc w:val="center"/>
              <w:rPr>
                <w:color w:val="333333"/>
                <w:sz w:val="20"/>
                <w:szCs w:val="20"/>
              </w:rPr>
            </w:pPr>
            <w:r>
              <w:rPr>
                <w:rFonts w:hint="eastAsia"/>
                <w:color w:val="333333"/>
                <w:sz w:val="20"/>
                <w:szCs w:val="20"/>
              </w:rPr>
              <w:t>3</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企业职工基本养老保险关系转移接续</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申请人可向转入地申请，转入地与转出地协同办理企业职工基本养老保险关系转移接续，申请人不再需要到转出地办理（不符合转出条件的除外）。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710" w:type="dxa"/>
            <w:noWrap w:val="0"/>
            <w:vAlign w:val="center"/>
          </w:tcPr>
          <w:p>
            <w:pPr>
              <w:jc w:val="center"/>
              <w:rPr>
                <w:color w:val="333333"/>
                <w:sz w:val="20"/>
                <w:szCs w:val="20"/>
              </w:rPr>
            </w:pPr>
            <w:r>
              <w:rPr>
                <w:rFonts w:hint="eastAsia"/>
                <w:color w:val="333333"/>
                <w:sz w:val="20"/>
                <w:szCs w:val="20"/>
              </w:rPr>
              <w:t>4</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城乡居民基本养老保险关系转移接续</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申请人可向转入地申请，转入地与转出地协同办理城乡居民基本养老保险关系转移接续，申请人不再需要到转出地办理（不符合转出条件的除外）。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710" w:type="dxa"/>
            <w:noWrap w:val="0"/>
            <w:vAlign w:val="center"/>
          </w:tcPr>
          <w:p>
            <w:pPr>
              <w:jc w:val="center"/>
              <w:rPr>
                <w:color w:val="333333"/>
                <w:sz w:val="20"/>
                <w:szCs w:val="20"/>
              </w:rPr>
            </w:pPr>
            <w:r>
              <w:rPr>
                <w:rFonts w:hint="eastAsia"/>
                <w:color w:val="333333"/>
                <w:sz w:val="20"/>
                <w:szCs w:val="20"/>
              </w:rPr>
              <w:t>5</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机关事业单位基本养老保险关系转移接续（含职业年金）</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申请人可向转入地申请，转入地与转出地协同办理机关事业单位基本养老保险关系转移接续（含职业年金），申请人不再需要到转出地办理（不符合转出条件的除外）。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jc w:val="center"/>
        </w:trPr>
        <w:tc>
          <w:tcPr>
            <w:tcW w:w="710" w:type="dxa"/>
            <w:noWrap w:val="0"/>
            <w:vAlign w:val="center"/>
          </w:tcPr>
          <w:p>
            <w:pPr>
              <w:jc w:val="center"/>
              <w:rPr>
                <w:color w:val="333333"/>
                <w:sz w:val="20"/>
                <w:szCs w:val="20"/>
              </w:rPr>
            </w:pPr>
            <w:r>
              <w:rPr>
                <w:rFonts w:hint="eastAsia"/>
                <w:color w:val="333333"/>
                <w:sz w:val="20"/>
                <w:szCs w:val="20"/>
              </w:rPr>
              <w:t>6</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机关事业单位基本养老保险与企业职工基本养老保险互转</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申请人可向转入地申请，转入地与转出地协同办理机关事业单位基本养老保险与企业职工基本养老保险互转，申请人不再需要到转出地办理（不符合转出条件的除外）。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10" w:type="dxa"/>
            <w:noWrap w:val="0"/>
            <w:vAlign w:val="center"/>
          </w:tcPr>
          <w:p>
            <w:pPr>
              <w:jc w:val="center"/>
              <w:rPr>
                <w:color w:val="333333"/>
                <w:sz w:val="20"/>
                <w:szCs w:val="20"/>
              </w:rPr>
            </w:pPr>
            <w:r>
              <w:rPr>
                <w:rFonts w:hint="eastAsia"/>
                <w:color w:val="333333"/>
                <w:sz w:val="20"/>
                <w:szCs w:val="20"/>
              </w:rPr>
              <w:t>7</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企业职工基本养老保险与城乡居民基本养老保险互转</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申请人可向转入地申请，转入地与转出地协同办理企业职工基本养老保险与城乡居民基本养老保险互转，申请人不再需要到转出地办理（不符合转出条件的除外）。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color w:val="333333"/>
                <w:sz w:val="20"/>
                <w:szCs w:val="20"/>
              </w:rPr>
            </w:pPr>
            <w:r>
              <w:rPr>
                <w:rFonts w:hint="eastAsia"/>
                <w:color w:val="333333"/>
                <w:sz w:val="20"/>
                <w:szCs w:val="20"/>
              </w:rPr>
              <w:t>8</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退役军人养老保险关系转移接续</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申请人可向转入地申请，转入地与军队经办机构协同办理退役军人养老保险关系转移接续。</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color w:val="333333"/>
                <w:sz w:val="20"/>
                <w:szCs w:val="20"/>
              </w:rPr>
            </w:pPr>
            <w:r>
              <w:rPr>
                <w:rFonts w:hint="eastAsia"/>
                <w:color w:val="333333"/>
                <w:sz w:val="20"/>
                <w:szCs w:val="20"/>
              </w:rPr>
              <w:t>9</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领取养老金人员待遇资格认证</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领取养老金的申请人，可异地自助办理领取待遇资格认证，不受地域限制。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10" w:type="dxa"/>
            <w:noWrap w:val="0"/>
            <w:vAlign w:val="center"/>
          </w:tcPr>
          <w:p>
            <w:pPr>
              <w:jc w:val="center"/>
              <w:rPr>
                <w:color w:val="333333"/>
                <w:sz w:val="20"/>
                <w:szCs w:val="20"/>
              </w:rPr>
            </w:pPr>
            <w:r>
              <w:rPr>
                <w:rFonts w:hint="eastAsia"/>
                <w:color w:val="333333"/>
                <w:sz w:val="20"/>
                <w:szCs w:val="20"/>
              </w:rPr>
              <w:t>10</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养老保险供养亲属领取待遇资格认证</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申请人属于养老保险供养亲属的，可异地自助办理领取待遇资格认证（生存认证），不受地域限制。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710" w:type="dxa"/>
            <w:noWrap w:val="0"/>
            <w:vAlign w:val="center"/>
          </w:tcPr>
          <w:p>
            <w:pPr>
              <w:jc w:val="center"/>
              <w:rPr>
                <w:color w:val="333333"/>
                <w:sz w:val="20"/>
                <w:szCs w:val="20"/>
              </w:rPr>
            </w:pPr>
            <w:r>
              <w:rPr>
                <w:rFonts w:hint="eastAsia"/>
                <w:color w:val="333333"/>
                <w:sz w:val="20"/>
                <w:szCs w:val="20"/>
              </w:rPr>
              <w:t>11</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电子社会保障卡申领</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申请人可网上申领电子社会保障卡，不受发卡地限制。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10" w:type="dxa"/>
            <w:noWrap w:val="0"/>
            <w:vAlign w:val="center"/>
          </w:tcPr>
          <w:p>
            <w:pPr>
              <w:jc w:val="center"/>
              <w:rPr>
                <w:color w:val="333333"/>
                <w:sz w:val="20"/>
                <w:szCs w:val="20"/>
              </w:rPr>
            </w:pPr>
            <w:r>
              <w:rPr>
                <w:rFonts w:hint="eastAsia"/>
                <w:color w:val="333333"/>
                <w:sz w:val="20"/>
                <w:szCs w:val="20"/>
              </w:rPr>
              <w:t>12</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失业保险金申领</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申请人可异地申领失业保险金，不受地域限制。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10" w:type="dxa"/>
            <w:noWrap w:val="0"/>
            <w:vAlign w:val="center"/>
          </w:tcPr>
          <w:p>
            <w:pPr>
              <w:jc w:val="center"/>
              <w:rPr>
                <w:color w:val="333333"/>
                <w:sz w:val="20"/>
                <w:szCs w:val="20"/>
              </w:rPr>
            </w:pPr>
            <w:r>
              <w:rPr>
                <w:rFonts w:hint="eastAsia"/>
                <w:color w:val="333333"/>
                <w:sz w:val="20"/>
                <w:szCs w:val="20"/>
              </w:rPr>
              <w:t>13</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就业创业证查询、核验</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申请人可异地查询或核验本人就业创业证信息，不受地域限制。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省就业局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color w:val="333333"/>
                <w:sz w:val="20"/>
                <w:szCs w:val="20"/>
              </w:rPr>
            </w:pPr>
            <w:r>
              <w:rPr>
                <w:rFonts w:hint="eastAsia"/>
                <w:color w:val="333333"/>
                <w:sz w:val="20"/>
                <w:szCs w:val="20"/>
              </w:rPr>
              <w:t>14</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技工院校毕业证书查询、核验</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申请人可异地查询或核验本人技工院校毕业证书信息，不受地域限制。</w:t>
            </w:r>
            <w:bookmarkStart w:id="0" w:name="_GoBack"/>
            <w:bookmarkEnd w:id="0"/>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厅职建处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color w:val="333333"/>
                <w:sz w:val="20"/>
                <w:szCs w:val="20"/>
              </w:rPr>
            </w:pPr>
            <w:r>
              <w:rPr>
                <w:rFonts w:hint="eastAsia"/>
                <w:color w:val="333333"/>
                <w:sz w:val="20"/>
                <w:szCs w:val="20"/>
              </w:rPr>
              <w:t>15</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技能人员职业资格证书查询、核验</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申请人可异地查询或核验本人技能人员职业资格证书信息，不受地域限制。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color w:val="333333"/>
                <w:sz w:val="20"/>
                <w:szCs w:val="20"/>
              </w:rPr>
            </w:pPr>
            <w:r>
              <w:rPr>
                <w:rFonts w:hint="eastAsia"/>
                <w:color w:val="333333"/>
                <w:sz w:val="20"/>
                <w:szCs w:val="20"/>
              </w:rPr>
              <w:t>16</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专业技术人员职业资格证书查询、核验</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申请人可异地查询或核验本人专业技术人员职业资格证书信息，不受地域限制。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9215" w:type="dxa"/>
            <w:gridSpan w:val="4"/>
            <w:noWrap w:val="0"/>
            <w:vAlign w:val="center"/>
          </w:tcPr>
          <w:p>
            <w:pPr>
              <w:widowControl/>
              <w:jc w:val="center"/>
              <w:textAlignment w:val="center"/>
              <w:rPr>
                <w:rFonts w:hint="eastAsia"/>
                <w:color w:val="333333"/>
                <w:sz w:val="20"/>
                <w:szCs w:val="20"/>
              </w:rPr>
            </w:pPr>
            <w:r>
              <w:rPr>
                <w:rFonts w:hint="eastAsia" w:ascii="黑体" w:hAnsi="黑体" w:eastAsia="黑体"/>
                <w:sz w:val="28"/>
              </w:rPr>
              <w:t>2021年底前实现“跨省通办”的事项（1</w:t>
            </w:r>
            <w:r>
              <w:rPr>
                <w:rFonts w:ascii="黑体" w:hAnsi="黑体" w:eastAsia="黑体"/>
                <w:sz w:val="28"/>
              </w:rPr>
              <w:t>4</w:t>
            </w:r>
            <w:r>
              <w:rPr>
                <w:rFonts w:hint="eastAsia" w:ascii="黑体" w:hAnsi="黑体" w:eastAsia="黑体"/>
                <w:sz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17</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职业年金个人权益记录单查询打印</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申请人可异地查询、打印职业年金个人权益记录单，不受地域限制。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18</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个人社保参保证明查询打印</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申请人可异地查询、打印个人社保参保证明信息，不受地域限制。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19</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单位社保参保证明查询打印</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申请人可异地查询、打印单位社保参保证明信息，不受地域限制。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20</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失业保险关系转移接续</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申请人可向转入地申请，转入地与转出地经办机构协同办理失业保险关系转移接续，申请人不再需要到转出地办理（不符合转出条件的除外）。</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21</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领取一级至四级伤残职工工伤保险长期待遇资格认证</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申请人可异地自助办理一级至四级伤残职工工伤保险长期待遇资格认证（生存认证），不受地域限制。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22</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领取因工死亡职工供养亲属待遇资格认证</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申请人可异地自助办理因工死亡职工供养亲属待遇资格认证（生存认证），不受地域限制。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23</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工伤事故备案</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申请人异地发生工伤事故后，可异地向参保地社保经办机构及时报告工伤事故情况，不受地域限制。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24</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工伤异地居住（就医）申请</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申请人需要在异地就医的，可申请工伤异地居住（就医）备案，不再需要到参保地办理。</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25</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社会保障卡申领</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申请人可异地申领社会保障卡，不受发卡地限制。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26</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社会保障卡启用</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申请人可异地启用社会保障卡社会保障功能，不受发卡地限制。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27</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社会保障卡补领、换领、换发</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申请人可异地申请社会保障卡补领、换领、换发，不受发卡地限制。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28</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社会保障卡临时挂失</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申请人可异地办理社会保障卡临时挂失，不受发卡地限制。</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厅信息办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29</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职业技能等级证书查询、核验</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申请人可异地查询或核验本人职业技能等级证书信息，不受地域限制。</w:t>
            </w:r>
          </w:p>
        </w:tc>
        <w:tc>
          <w:tcPr>
            <w:tcW w:w="1134" w:type="dxa"/>
            <w:noWrap w:val="0"/>
            <w:vAlign w:val="center"/>
          </w:tcPr>
          <w:p>
            <w:pPr>
              <w:widowControl/>
              <w:jc w:val="center"/>
              <w:textAlignment w:val="center"/>
              <w:rPr>
                <w:color w:val="333333"/>
                <w:sz w:val="20"/>
                <w:szCs w:val="20"/>
              </w:rPr>
            </w:pPr>
            <w:r>
              <w:rPr>
                <w:rFonts w:hint="eastAsia"/>
                <w:color w:val="333333"/>
                <w:spacing w:val="-11"/>
                <w:sz w:val="20"/>
                <w:szCs w:val="20"/>
                <w:lang w:eastAsia="zh-CN"/>
              </w:rPr>
              <w:t>省</w:t>
            </w:r>
            <w:r>
              <w:rPr>
                <w:rFonts w:hint="eastAsia"/>
                <w:color w:val="333333"/>
                <w:spacing w:val="-11"/>
                <w:sz w:val="20"/>
                <w:szCs w:val="20"/>
              </w:rPr>
              <w:t>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30</w:t>
            </w:r>
          </w:p>
        </w:tc>
        <w:tc>
          <w:tcPr>
            <w:tcW w:w="2409" w:type="dxa"/>
            <w:noWrap w:val="0"/>
            <w:vAlign w:val="center"/>
          </w:tcPr>
          <w:p>
            <w:pPr>
              <w:widowControl/>
              <w:jc w:val="left"/>
              <w:textAlignment w:val="center"/>
              <w:rPr>
                <w:color w:val="333333"/>
                <w:sz w:val="20"/>
                <w:szCs w:val="20"/>
              </w:rPr>
            </w:pPr>
            <w:r>
              <w:rPr>
                <w:rFonts w:hint="eastAsia"/>
                <w:color w:val="333333"/>
                <w:sz w:val="20"/>
                <w:szCs w:val="20"/>
              </w:rPr>
              <w:t>流动人员人事档案接收、转递</w:t>
            </w:r>
          </w:p>
        </w:tc>
        <w:tc>
          <w:tcPr>
            <w:tcW w:w="4962" w:type="dxa"/>
            <w:noWrap w:val="0"/>
            <w:vAlign w:val="center"/>
          </w:tcPr>
          <w:p>
            <w:pPr>
              <w:widowControl/>
              <w:jc w:val="left"/>
              <w:textAlignment w:val="center"/>
              <w:rPr>
                <w:color w:val="333333"/>
                <w:sz w:val="20"/>
                <w:szCs w:val="20"/>
              </w:rPr>
            </w:pPr>
            <w:r>
              <w:rPr>
                <w:rFonts w:hint="eastAsia"/>
                <w:color w:val="333333"/>
                <w:sz w:val="20"/>
                <w:szCs w:val="20"/>
              </w:rPr>
              <w:t>申请人可向人事档案转入地申请，转入地与转出地协同办理流动人员人事档案接收、转递，申请人不再需要到转出地办理相关手续。</w:t>
            </w:r>
          </w:p>
        </w:tc>
        <w:tc>
          <w:tcPr>
            <w:tcW w:w="1134" w:type="dxa"/>
            <w:noWrap w:val="0"/>
            <w:vAlign w:val="center"/>
          </w:tcPr>
          <w:p>
            <w:pPr>
              <w:widowControl/>
              <w:jc w:val="center"/>
              <w:textAlignment w:val="center"/>
              <w:rPr>
                <w:color w:val="333333"/>
                <w:sz w:val="20"/>
                <w:szCs w:val="20"/>
              </w:rPr>
            </w:pPr>
            <w:r>
              <w:rPr>
                <w:rFonts w:hint="eastAsia"/>
                <w:color w:val="333333"/>
                <w:sz w:val="20"/>
                <w:szCs w:val="20"/>
              </w:rPr>
              <w:t>省人才中心、省人力资源市场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9215" w:type="dxa"/>
            <w:gridSpan w:val="4"/>
            <w:noWrap w:val="0"/>
            <w:vAlign w:val="center"/>
          </w:tcPr>
          <w:p>
            <w:pPr>
              <w:widowControl/>
              <w:jc w:val="center"/>
              <w:textAlignment w:val="center"/>
              <w:rPr>
                <w:rFonts w:hint="eastAsia"/>
                <w:color w:val="333333"/>
                <w:sz w:val="20"/>
                <w:szCs w:val="20"/>
              </w:rPr>
            </w:pPr>
            <w:r>
              <w:rPr>
                <w:rFonts w:hint="eastAsia" w:ascii="黑体" w:hAnsi="黑体" w:eastAsia="黑体"/>
                <w:sz w:val="28"/>
              </w:rPr>
              <w:t>202</w:t>
            </w:r>
            <w:r>
              <w:rPr>
                <w:rFonts w:hint="eastAsia" w:ascii="黑体" w:hAnsi="黑体" w:eastAsia="黑体"/>
                <w:sz w:val="28"/>
                <w:lang w:val="en-US" w:eastAsia="zh-CN"/>
              </w:rPr>
              <w:t>2</w:t>
            </w:r>
            <w:r>
              <w:rPr>
                <w:rFonts w:hint="eastAsia" w:ascii="黑体" w:hAnsi="黑体" w:eastAsia="黑体"/>
                <w:sz w:val="28"/>
              </w:rPr>
              <w:t>年实现“跨省通办”的事项（</w:t>
            </w:r>
            <w:r>
              <w:rPr>
                <w:rFonts w:ascii="黑体" w:hAnsi="黑体" w:eastAsia="黑体"/>
                <w:sz w:val="28"/>
              </w:rPr>
              <w:t>3</w:t>
            </w:r>
            <w:r>
              <w:rPr>
                <w:rFonts w:hint="eastAsia" w:ascii="黑体" w:hAnsi="黑体" w:eastAsia="黑体"/>
                <w:sz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31</w:t>
            </w:r>
          </w:p>
        </w:tc>
        <w:tc>
          <w:tcPr>
            <w:tcW w:w="2409" w:type="dxa"/>
            <w:noWrap w:val="0"/>
            <w:vAlign w:val="center"/>
          </w:tcPr>
          <w:p>
            <w:pPr>
              <w:rPr>
                <w:color w:val="333333"/>
              </w:rPr>
            </w:pPr>
            <w:r>
              <w:rPr>
                <w:rFonts w:hint="eastAsia"/>
                <w:color w:val="333333"/>
                <w:sz w:val="20"/>
                <w:szCs w:val="20"/>
              </w:rPr>
              <w:t>灵活就业人员申请企业职工基本养老保险参保登记</w:t>
            </w:r>
          </w:p>
        </w:tc>
        <w:tc>
          <w:tcPr>
            <w:tcW w:w="4962" w:type="dxa"/>
            <w:noWrap w:val="0"/>
            <w:vAlign w:val="center"/>
          </w:tcPr>
          <w:p>
            <w:pPr>
              <w:rPr>
                <w:color w:val="333333"/>
              </w:rPr>
            </w:pPr>
            <w:r>
              <w:rPr>
                <w:rFonts w:hint="eastAsia"/>
                <w:color w:val="333333"/>
                <w:sz w:val="20"/>
                <w:szCs w:val="20"/>
              </w:rPr>
              <w:t>申请人可异地申请企业职工基本养老保险参保登记，不受地域限制。</w:t>
            </w:r>
          </w:p>
        </w:tc>
        <w:tc>
          <w:tcPr>
            <w:tcW w:w="1134" w:type="dxa"/>
            <w:noWrap w:val="0"/>
            <w:vAlign w:val="center"/>
          </w:tcPr>
          <w:p>
            <w:pPr>
              <w:jc w:val="center"/>
              <w:rPr>
                <w:rFonts w:hint="eastAsia"/>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32</w:t>
            </w:r>
          </w:p>
        </w:tc>
        <w:tc>
          <w:tcPr>
            <w:tcW w:w="2409" w:type="dxa"/>
            <w:noWrap w:val="0"/>
            <w:vAlign w:val="center"/>
          </w:tcPr>
          <w:p>
            <w:pPr>
              <w:rPr>
                <w:color w:val="333333"/>
              </w:rPr>
            </w:pPr>
            <w:r>
              <w:rPr>
                <w:rFonts w:hint="eastAsia"/>
                <w:color w:val="333333"/>
                <w:sz w:val="20"/>
                <w:szCs w:val="20"/>
              </w:rPr>
              <w:t>社会保险参保缴费记录查询</w:t>
            </w:r>
          </w:p>
        </w:tc>
        <w:tc>
          <w:tcPr>
            <w:tcW w:w="4962" w:type="dxa"/>
            <w:noWrap w:val="0"/>
            <w:vAlign w:val="center"/>
          </w:tcPr>
          <w:p>
            <w:pPr>
              <w:rPr>
                <w:color w:val="333333"/>
              </w:rPr>
            </w:pPr>
            <w:r>
              <w:rPr>
                <w:rFonts w:hint="eastAsia"/>
                <w:color w:val="333333"/>
                <w:sz w:val="20"/>
                <w:szCs w:val="20"/>
              </w:rPr>
              <w:t>申请人可异地查询本人在各地的每月社会保险参保缴费记录，不受地域限制。</w:t>
            </w:r>
          </w:p>
        </w:tc>
        <w:tc>
          <w:tcPr>
            <w:tcW w:w="1134" w:type="dxa"/>
            <w:noWrap w:val="0"/>
            <w:vAlign w:val="center"/>
          </w:tcPr>
          <w:p>
            <w:pPr>
              <w:jc w:val="center"/>
              <w:rPr>
                <w:color w:val="333333"/>
                <w:sz w:val="20"/>
                <w:szCs w:val="20"/>
              </w:rPr>
            </w:pPr>
            <w:r>
              <w:rPr>
                <w:rFonts w:hint="eastAsia"/>
                <w:color w:val="333333"/>
                <w:sz w:val="20"/>
                <w:szCs w:val="20"/>
              </w:rPr>
              <w:t>省社保局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0" w:type="dxa"/>
            <w:noWrap w:val="0"/>
            <w:vAlign w:val="center"/>
          </w:tcPr>
          <w:p>
            <w:pPr>
              <w:jc w:val="center"/>
              <w:rPr>
                <w:rFonts w:hint="eastAsia"/>
                <w:color w:val="333333"/>
                <w:sz w:val="20"/>
                <w:szCs w:val="20"/>
              </w:rPr>
            </w:pPr>
            <w:r>
              <w:rPr>
                <w:rFonts w:hint="eastAsia"/>
                <w:color w:val="333333"/>
                <w:sz w:val="20"/>
                <w:szCs w:val="20"/>
              </w:rPr>
              <w:t>33</w:t>
            </w:r>
          </w:p>
        </w:tc>
        <w:tc>
          <w:tcPr>
            <w:tcW w:w="2409" w:type="dxa"/>
            <w:noWrap w:val="0"/>
            <w:vAlign w:val="center"/>
          </w:tcPr>
          <w:p>
            <w:pPr>
              <w:rPr>
                <w:color w:val="333333"/>
              </w:rPr>
            </w:pPr>
            <w:r>
              <w:rPr>
                <w:rFonts w:hint="eastAsia"/>
                <w:color w:val="333333"/>
                <w:sz w:val="20"/>
                <w:szCs w:val="20"/>
              </w:rPr>
              <w:t>工伤职工异地就医结算</w:t>
            </w:r>
          </w:p>
        </w:tc>
        <w:tc>
          <w:tcPr>
            <w:tcW w:w="4962" w:type="dxa"/>
            <w:noWrap w:val="0"/>
            <w:vAlign w:val="center"/>
          </w:tcPr>
          <w:p>
            <w:pPr>
              <w:rPr>
                <w:color w:val="333333"/>
              </w:rPr>
            </w:pPr>
            <w:r>
              <w:rPr>
                <w:rFonts w:hint="eastAsia"/>
                <w:color w:val="333333"/>
                <w:sz w:val="20"/>
                <w:szCs w:val="20"/>
              </w:rPr>
              <w:t>申请人可持社会保障卡直接结算工伤医疗费、辅助器具配置费、工伤康复费。</w:t>
            </w:r>
          </w:p>
        </w:tc>
        <w:tc>
          <w:tcPr>
            <w:tcW w:w="1134" w:type="dxa"/>
            <w:noWrap w:val="0"/>
            <w:vAlign w:val="center"/>
          </w:tcPr>
          <w:p>
            <w:pPr>
              <w:jc w:val="center"/>
              <w:rPr>
                <w:color w:val="333333"/>
                <w:sz w:val="20"/>
                <w:szCs w:val="20"/>
              </w:rPr>
            </w:pPr>
            <w:r>
              <w:rPr>
                <w:rFonts w:hint="eastAsia"/>
                <w:color w:val="333333"/>
                <w:sz w:val="20"/>
                <w:szCs w:val="20"/>
              </w:rPr>
              <w:t>省社保局</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黑体" w:hAnsi="黑体" w:eastAsia="黑体"/>
          <w:color w:val="000000"/>
          <w:sz w:val="32"/>
          <w:szCs w:val="32"/>
        </w:rPr>
      </w:pPr>
    </w:p>
    <w:p/>
    <w:sectPr>
      <w:footerReference r:id="rId3" w:type="even"/>
      <w:pgSz w:w="11906" w:h="16838"/>
      <w:pgMar w:top="1440" w:right="1531" w:bottom="1440" w:left="1644" w:header="851" w:footer="1020" w:gutter="0"/>
      <w:pgNumType w:fmt="numberInDash" w:start="1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C5667"/>
    <w:rsid w:val="302D713C"/>
    <w:rsid w:val="52D8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2020-10-20T08:24:00Z</dcterms:created>
  <dc:creator>Administrator</dc:creator>
  <cp:lastModifiedBy>夜空守望者</cp:lastModifiedBy>
  <dcterms:modified xsi:type="dcterms:W3CDTF">2020-12-14T10:17:41Z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