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bookmark33"/>
      <w:bookmarkStart w:id="1" w:name="bookmark32"/>
      <w:bookmarkStart w:id="2" w:name="bookmark31"/>
      <w:r>
        <w:rPr>
          <w:rFonts w:hint="eastAsia" w:ascii="方正小标宋简体" w:hAnsi="方正小标宋简体" w:eastAsia="方正小标宋简体" w:cs="方正小标宋简体"/>
          <w:color w:val="000000" w:themeColor="text1"/>
          <w:spacing w:val="0"/>
          <w:w w:val="100"/>
          <w:position w:val="0"/>
          <w:sz w:val="44"/>
          <w:szCs w:val="44"/>
          <w14:textFill>
            <w14:solidFill>
              <w14:schemeClr w14:val="tx1"/>
            </w14:solidFill>
          </w14:textFill>
        </w:rPr>
        <w:t>政府信息公开工作年度报告</w:t>
      </w:r>
      <w:bookmarkEnd w:id="0"/>
      <w:bookmarkEnd w:id="1"/>
      <w:bookmarkEnd w:id="2"/>
    </w:p>
    <w:p>
      <w:pPr>
        <w:pStyle w:val="11"/>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ascii="Times New Roman" w:hAnsi="Times New Roman" w:eastAsia="仿宋_GB2312" w:cs="仿宋_GB2312"/>
          <w:color w:val="000000" w:themeColor="text1"/>
          <w:spacing w:val="0"/>
          <w:w w:val="100"/>
          <w:position w:val="0"/>
          <w:sz w:val="32"/>
          <w:szCs w:val="32"/>
          <w14:textFill>
            <w14:solidFill>
              <w14:schemeClr w14:val="tx1"/>
            </w14:solidFill>
          </w14:textFill>
        </w:rPr>
      </w:pPr>
      <w:bookmarkStart w:id="3" w:name="bookmark34"/>
    </w:p>
    <w:p>
      <w:pPr>
        <w:pStyle w:val="11"/>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一</w:t>
      </w:r>
      <w:bookmarkEnd w:id="3"/>
      <w:r>
        <w:rPr>
          <w:rFonts w:hint="eastAsia" w:ascii="黑体" w:hAnsi="黑体" w:eastAsia="黑体" w:cs="黑体"/>
          <w:color w:val="000000" w:themeColor="text1"/>
          <w:spacing w:val="0"/>
          <w:w w:val="100"/>
          <w:position w:val="0"/>
          <w:sz w:val="32"/>
          <w:szCs w:val="32"/>
          <w14:textFill>
            <w14:solidFill>
              <w14:schemeClr w14:val="tx1"/>
            </w14:solidFill>
          </w14:textFill>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bookmarkStart w:id="4" w:name="bookmark35"/>
      <w:r>
        <w:rPr>
          <w:rFonts w:hint="eastAsia" w:eastAsia="仿宋_GB2312"/>
          <w:color w:val="000000"/>
          <w:sz w:val="32"/>
          <w:szCs w:val="32"/>
          <w:lang w:eastAsia="zh-CN"/>
        </w:rPr>
        <w:t>2020</w:t>
      </w:r>
      <w:r>
        <w:rPr>
          <w:rFonts w:hint="eastAsia" w:ascii="Times New Roman" w:hAnsi="Times New Roman" w:eastAsia="仿宋_GB2312"/>
          <w:color w:val="000000"/>
          <w:sz w:val="32"/>
          <w:szCs w:val="32"/>
        </w:rPr>
        <w:t>年，区财政局在区委、区政府的正确领导下，按照</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中华人民共和国政府信息公开条例</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国务院20</w:t>
      </w:r>
      <w:r>
        <w:rPr>
          <w:rFonts w:hint="eastAsia" w:eastAsia="仿宋_GB2312"/>
          <w:color w:val="000000"/>
          <w:sz w:val="32"/>
          <w:szCs w:val="32"/>
          <w:lang w:val="en-US" w:eastAsia="zh-CN"/>
        </w:rPr>
        <w:t>20</w:t>
      </w:r>
      <w:r>
        <w:rPr>
          <w:rFonts w:hint="eastAsia" w:ascii="Times New Roman" w:hAnsi="Times New Roman" w:eastAsia="仿宋_GB2312"/>
          <w:color w:val="000000"/>
          <w:sz w:val="32"/>
          <w:szCs w:val="32"/>
        </w:rPr>
        <w:t>年政务公开工作要点</w:t>
      </w:r>
      <w:r>
        <w:rPr>
          <w:rFonts w:hint="eastAsia" w:eastAsia="仿宋_GB2312"/>
          <w:color w:val="000000"/>
          <w:sz w:val="32"/>
          <w:szCs w:val="32"/>
          <w:lang w:eastAsia="zh-CN"/>
        </w:rPr>
        <w:t>》及</w:t>
      </w:r>
      <w:r>
        <w:rPr>
          <w:rFonts w:hint="eastAsia" w:ascii="Times New Roman" w:hAnsi="Times New Roman" w:eastAsia="仿宋_GB2312"/>
          <w:color w:val="000000"/>
          <w:sz w:val="32"/>
          <w:szCs w:val="32"/>
        </w:rPr>
        <w:t>省、市、区20</w:t>
      </w:r>
      <w:r>
        <w:rPr>
          <w:rFonts w:hint="eastAsia" w:eastAsia="仿宋_GB2312"/>
          <w:color w:val="000000"/>
          <w:sz w:val="32"/>
          <w:szCs w:val="32"/>
          <w:lang w:val="en-US" w:eastAsia="zh-CN"/>
        </w:rPr>
        <w:t>20</w:t>
      </w:r>
      <w:r>
        <w:rPr>
          <w:rFonts w:hint="eastAsia" w:ascii="Times New Roman" w:hAnsi="Times New Roman" w:eastAsia="仿宋_GB2312"/>
          <w:color w:val="000000"/>
          <w:sz w:val="32"/>
          <w:szCs w:val="32"/>
        </w:rPr>
        <w:t>年政务公开工作要点和本通知要求，认真贯彻落实《中华人民共和国政府信息公开条例》，本着“实事求是、政务公开”的原则，把政府信息公开工作纳入重要议事日程认真组织开展，指定分管领导及专职工作人员，严格制定了相关制度，将政府信息公开工作与日常的信息工作、电子政务工作相结合，及时准确地发布相关政府信息，20</w:t>
      </w:r>
      <w:r>
        <w:rPr>
          <w:rFonts w:hint="eastAsia"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rPr>
        <w:t>年度共公开政府信息</w:t>
      </w:r>
      <w:r>
        <w:rPr>
          <w:rFonts w:hint="eastAsia" w:ascii="Times New Roman" w:hAnsi="Times New Roman" w:eastAsia="仿宋_GB2312"/>
          <w:color w:val="000000"/>
          <w:sz w:val="32"/>
          <w:szCs w:val="32"/>
          <w:lang w:val="en-US" w:eastAsia="zh-CN"/>
        </w:rPr>
        <w:t>10</w:t>
      </w:r>
      <w:r>
        <w:rPr>
          <w:rFonts w:hint="eastAsia" w:eastAsia="仿宋_GB2312"/>
          <w:color w:val="000000"/>
          <w:sz w:val="32"/>
          <w:szCs w:val="32"/>
          <w:lang w:val="en-US" w:eastAsia="zh-CN"/>
        </w:rPr>
        <w:t>6</w:t>
      </w:r>
      <w:r>
        <w:rPr>
          <w:rFonts w:hint="eastAsia" w:ascii="Times New Roman" w:hAnsi="Times New Roman" w:eastAsia="仿宋_GB2312"/>
          <w:color w:val="000000"/>
          <w:sz w:val="32"/>
          <w:szCs w:val="32"/>
        </w:rPr>
        <w:t>条</w:t>
      </w:r>
      <w:r>
        <w:rPr>
          <w:rFonts w:hint="eastAsia" w:eastAsia="仿宋_GB2312"/>
          <w:color w:val="000000"/>
          <w:sz w:val="32"/>
          <w:szCs w:val="32"/>
          <w:lang w:val="en-US" w:eastAsia="zh-CN"/>
        </w:rPr>
        <w:t>，主要包括</w:t>
      </w:r>
      <w:r>
        <w:rPr>
          <w:rFonts w:hint="eastAsia" w:ascii="Times New Roman" w:hAnsi="Times New Roman" w:eastAsia="仿宋_GB2312"/>
          <w:color w:val="000000"/>
          <w:sz w:val="32"/>
          <w:szCs w:val="32"/>
          <w:lang w:eastAsia="zh-CN"/>
        </w:rPr>
        <w:t>改版前</w:t>
      </w:r>
      <w:r>
        <w:rPr>
          <w:rFonts w:hint="eastAsia" w:ascii="Times New Roman" w:hAnsi="Times New Roman" w:eastAsia="仿宋_GB2312"/>
          <w:color w:val="000000"/>
          <w:sz w:val="32"/>
          <w:szCs w:val="32"/>
        </w:rPr>
        <w:t>政策法规（</w:t>
      </w:r>
      <w:r>
        <w:rPr>
          <w:rFonts w:hint="eastAsia" w:ascii="Times New Roman" w:hAnsi="Times New Roman" w:eastAsia="仿宋_GB2312"/>
          <w:color w:val="000000"/>
          <w:sz w:val="32"/>
          <w:szCs w:val="32"/>
          <w:lang w:val="en-US" w:eastAsia="zh-CN"/>
        </w:rPr>
        <w:t>4条</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规划计划（</w:t>
      </w:r>
      <w:r>
        <w:rPr>
          <w:rFonts w:hint="eastAsia" w:ascii="Times New Roman" w:hAnsi="Times New Roman" w:eastAsia="仿宋_GB2312"/>
          <w:color w:val="000000"/>
          <w:sz w:val="32"/>
          <w:szCs w:val="32"/>
          <w:lang w:val="en-US" w:eastAsia="zh-CN"/>
        </w:rPr>
        <w:t>2条</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文件资料（</w:t>
      </w:r>
      <w:r>
        <w:rPr>
          <w:rFonts w:hint="eastAsia" w:ascii="Times New Roman" w:hAnsi="Times New Roman" w:eastAsia="仿宋_GB2312"/>
          <w:color w:val="000000"/>
          <w:sz w:val="32"/>
          <w:szCs w:val="32"/>
          <w:lang w:val="en-US" w:eastAsia="zh-CN"/>
        </w:rPr>
        <w:t>3条</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政策解读（</w:t>
      </w:r>
      <w:r>
        <w:rPr>
          <w:rFonts w:hint="eastAsia" w:ascii="Times New Roman" w:hAnsi="Times New Roman" w:eastAsia="仿宋_GB2312"/>
          <w:color w:val="000000"/>
          <w:sz w:val="32"/>
          <w:szCs w:val="32"/>
          <w:lang w:val="en-US" w:eastAsia="zh-CN"/>
        </w:rPr>
        <w:t>5条</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重点领域信息（</w:t>
      </w:r>
      <w:r>
        <w:rPr>
          <w:rFonts w:hint="eastAsia" w:ascii="Times New Roman" w:hAnsi="Times New Roman" w:eastAsia="仿宋_GB2312"/>
          <w:color w:val="000000"/>
          <w:sz w:val="32"/>
          <w:szCs w:val="32"/>
          <w:lang w:val="en-US" w:eastAsia="zh-CN"/>
        </w:rPr>
        <w:t>27</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，公示公告（</w:t>
      </w:r>
      <w:r>
        <w:rPr>
          <w:rFonts w:hint="eastAsia" w:ascii="Times New Roman" w:hAnsi="Times New Roman" w:eastAsia="仿宋_GB2312"/>
          <w:color w:val="000000"/>
          <w:sz w:val="32"/>
          <w:szCs w:val="32"/>
          <w:lang w:val="en-US" w:eastAsia="zh-CN"/>
        </w:rPr>
        <w:t>17条</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合</w:t>
      </w:r>
      <w:r>
        <w:rPr>
          <w:rFonts w:hint="eastAsia" w:ascii="Times New Roman" w:hAnsi="Times New Roman" w:eastAsia="仿宋_GB2312"/>
          <w:color w:val="000000"/>
          <w:sz w:val="32"/>
          <w:szCs w:val="32"/>
          <w:lang w:eastAsia="zh-CN"/>
        </w:rPr>
        <w:t>计</w:t>
      </w:r>
      <w:r>
        <w:rPr>
          <w:rFonts w:hint="eastAsia" w:ascii="Times New Roman" w:hAnsi="Times New Roman" w:eastAsia="仿宋_GB2312"/>
          <w:color w:val="000000"/>
          <w:sz w:val="32"/>
          <w:szCs w:val="32"/>
          <w:lang w:val="en-US" w:eastAsia="zh-CN"/>
        </w:rPr>
        <w:t>58条；</w:t>
      </w:r>
      <w:r>
        <w:rPr>
          <w:rFonts w:hint="eastAsia" w:ascii="Times New Roman" w:hAnsi="Times New Roman" w:eastAsia="仿宋_GB2312"/>
          <w:color w:val="000000"/>
          <w:sz w:val="32"/>
          <w:szCs w:val="32"/>
          <w:lang w:eastAsia="zh-CN"/>
        </w:rPr>
        <w:t>改版后履职依据（</w:t>
      </w:r>
      <w:r>
        <w:rPr>
          <w:rFonts w:hint="eastAsia" w:ascii="Times New Roman" w:hAnsi="Times New Roman" w:eastAsia="仿宋_GB2312"/>
          <w:color w:val="000000"/>
          <w:sz w:val="32"/>
          <w:szCs w:val="32"/>
          <w:lang w:val="en-US" w:eastAsia="zh-CN"/>
        </w:rPr>
        <w:t>11条</w:t>
      </w:r>
      <w:r>
        <w:rPr>
          <w:rFonts w:hint="eastAsia" w:ascii="Times New Roman" w:hAnsi="Times New Roman" w:eastAsia="仿宋_GB2312"/>
          <w:color w:val="000000"/>
          <w:sz w:val="32"/>
          <w:szCs w:val="32"/>
          <w:lang w:eastAsia="zh-CN"/>
        </w:rPr>
        <w:t>）、机关简介（</w:t>
      </w:r>
      <w:r>
        <w:rPr>
          <w:rFonts w:hint="eastAsia" w:ascii="Times New Roman" w:hAnsi="Times New Roman" w:eastAsia="仿宋_GB2312"/>
          <w:color w:val="000000"/>
          <w:sz w:val="32"/>
          <w:szCs w:val="32"/>
          <w:lang w:val="en-US" w:eastAsia="zh-CN"/>
        </w:rPr>
        <w:t>8条</w:t>
      </w:r>
      <w:r>
        <w:rPr>
          <w:rFonts w:hint="eastAsia" w:ascii="Times New Roman" w:hAnsi="Times New Roman" w:eastAsia="仿宋_GB2312"/>
          <w:color w:val="000000"/>
          <w:sz w:val="32"/>
          <w:szCs w:val="32"/>
          <w:lang w:eastAsia="zh-CN"/>
        </w:rPr>
        <w:t>）、预算决算（小计</w:t>
      </w:r>
      <w:r>
        <w:rPr>
          <w:rFonts w:hint="eastAsia" w:ascii="Times New Roman" w:hAnsi="Times New Roman" w:eastAsia="仿宋_GB2312"/>
          <w:color w:val="000000"/>
          <w:sz w:val="32"/>
          <w:szCs w:val="32"/>
          <w:lang w:val="en-US" w:eastAsia="zh-CN"/>
        </w:rPr>
        <w:t>2</w:t>
      </w:r>
      <w:r>
        <w:rPr>
          <w:rFonts w:hint="eastAsia" w:eastAsia="仿宋_GB2312"/>
          <w:color w:val="000000"/>
          <w:sz w:val="32"/>
          <w:szCs w:val="32"/>
          <w:lang w:val="en-US" w:eastAsia="zh-CN"/>
        </w:rPr>
        <w:t>9条</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w:t>
      </w:r>
      <w:r>
        <w:rPr>
          <w:rFonts w:hint="eastAsia" w:ascii="Times New Roman" w:hAnsi="Times New Roman" w:eastAsia="仿宋_GB2312"/>
          <w:color w:val="000000"/>
          <w:sz w:val="32"/>
          <w:szCs w:val="32"/>
          <w:lang w:eastAsia="zh-CN"/>
        </w:rPr>
        <w:t>财政预决算及“三公经费”（</w:t>
      </w:r>
      <w:r>
        <w:rPr>
          <w:rFonts w:hint="eastAsia" w:ascii="Times New Roman" w:hAnsi="Times New Roman" w:eastAsia="仿宋_GB2312"/>
          <w:color w:val="000000"/>
          <w:sz w:val="32"/>
          <w:szCs w:val="32"/>
          <w:lang w:val="en-US" w:eastAsia="zh-CN"/>
        </w:rPr>
        <w:t>8条</w:t>
      </w:r>
      <w:r>
        <w:rPr>
          <w:rFonts w:hint="eastAsia" w:ascii="Times New Roman" w:hAnsi="Times New Roman" w:eastAsia="仿宋_GB2312"/>
          <w:color w:val="000000"/>
          <w:sz w:val="32"/>
          <w:szCs w:val="32"/>
          <w:lang w:eastAsia="zh-CN"/>
        </w:rPr>
        <w:t>）、财政收支信息（</w:t>
      </w:r>
      <w:r>
        <w:rPr>
          <w:rFonts w:hint="eastAsia" w:ascii="Times New Roman" w:hAnsi="Times New Roman" w:eastAsia="仿宋_GB2312"/>
          <w:color w:val="000000"/>
          <w:sz w:val="32"/>
          <w:szCs w:val="32"/>
          <w:lang w:val="en-US" w:eastAsia="zh-CN"/>
        </w:rPr>
        <w:t>6条</w:t>
      </w:r>
      <w:r>
        <w:rPr>
          <w:rFonts w:hint="eastAsia" w:ascii="Times New Roman" w:hAnsi="Times New Roman" w:eastAsia="仿宋_GB2312"/>
          <w:color w:val="000000"/>
          <w:sz w:val="32"/>
          <w:szCs w:val="32"/>
          <w:lang w:eastAsia="zh-CN"/>
        </w:rPr>
        <w:t>）政府债务信息（</w:t>
      </w:r>
      <w:r>
        <w:rPr>
          <w:rFonts w:hint="eastAsia" w:ascii="Times New Roman" w:hAnsi="Times New Roman" w:eastAsia="仿宋_GB2312"/>
          <w:color w:val="000000"/>
          <w:sz w:val="32"/>
          <w:szCs w:val="32"/>
          <w:lang w:val="en-US" w:eastAsia="zh-CN"/>
        </w:rPr>
        <w:t>3条</w:t>
      </w:r>
      <w:r>
        <w:rPr>
          <w:rFonts w:hint="eastAsia" w:ascii="Times New Roman" w:hAnsi="Times New Roman" w:eastAsia="仿宋_GB2312"/>
          <w:color w:val="000000"/>
          <w:sz w:val="32"/>
          <w:szCs w:val="32"/>
          <w:lang w:eastAsia="zh-CN"/>
        </w:rPr>
        <w:t>）、专项资金（</w:t>
      </w:r>
      <w:r>
        <w:rPr>
          <w:rFonts w:hint="eastAsia" w:ascii="Times New Roman" w:hAnsi="Times New Roman" w:eastAsia="仿宋_GB2312"/>
          <w:color w:val="000000"/>
          <w:sz w:val="32"/>
          <w:szCs w:val="32"/>
          <w:lang w:val="en-US" w:eastAsia="zh-CN"/>
        </w:rPr>
        <w:t>3条</w:t>
      </w:r>
      <w:r>
        <w:rPr>
          <w:rFonts w:hint="eastAsia" w:ascii="Times New Roman" w:hAnsi="Times New Roman" w:eastAsia="仿宋_GB2312"/>
          <w:color w:val="000000"/>
          <w:sz w:val="32"/>
          <w:szCs w:val="32"/>
          <w:lang w:eastAsia="zh-CN"/>
        </w:rPr>
        <w:t>）、收费目录（</w:t>
      </w:r>
      <w:r>
        <w:rPr>
          <w:rFonts w:hint="eastAsia" w:ascii="Times New Roman" w:hAnsi="Times New Roman" w:eastAsia="仿宋_GB2312"/>
          <w:color w:val="000000"/>
          <w:sz w:val="32"/>
          <w:szCs w:val="32"/>
          <w:lang w:val="en-US" w:eastAsia="zh-CN"/>
        </w:rPr>
        <w:t>2条</w:t>
      </w:r>
      <w:r>
        <w:rPr>
          <w:rFonts w:hint="eastAsia" w:ascii="Times New Roman" w:hAnsi="Times New Roman" w:eastAsia="仿宋_GB2312"/>
          <w:color w:val="000000"/>
          <w:sz w:val="32"/>
          <w:szCs w:val="32"/>
          <w:lang w:eastAsia="zh-CN"/>
        </w:rPr>
        <w:t>）、政策解读（</w:t>
      </w:r>
      <w:r>
        <w:rPr>
          <w:rFonts w:hint="eastAsia" w:ascii="Times New Roman" w:hAnsi="Times New Roman" w:eastAsia="仿宋_GB2312"/>
          <w:color w:val="000000"/>
          <w:sz w:val="32"/>
          <w:szCs w:val="32"/>
          <w:lang w:val="en-US" w:eastAsia="zh-CN"/>
        </w:rPr>
        <w:t>3条</w:t>
      </w:r>
      <w:r>
        <w:rPr>
          <w:rFonts w:hint="eastAsia" w:ascii="Times New Roman" w:hAnsi="Times New Roman" w:eastAsia="仿宋_GB2312"/>
          <w:color w:val="000000"/>
          <w:sz w:val="32"/>
          <w:szCs w:val="32"/>
          <w:lang w:eastAsia="zh-CN"/>
        </w:rPr>
        <w:t>）、公示公告（</w:t>
      </w:r>
      <w:r>
        <w:rPr>
          <w:rFonts w:hint="eastAsia" w:eastAsia="仿宋_GB2312"/>
          <w:color w:val="000000"/>
          <w:sz w:val="32"/>
          <w:szCs w:val="32"/>
          <w:lang w:val="en-US" w:eastAsia="zh-CN"/>
        </w:rPr>
        <w:t>4</w:t>
      </w:r>
      <w:r>
        <w:rPr>
          <w:rFonts w:hint="eastAsia" w:ascii="Times New Roman" w:hAnsi="Times New Roman" w:eastAsia="仿宋_GB2312"/>
          <w:color w:val="000000"/>
          <w:sz w:val="32"/>
          <w:szCs w:val="32"/>
          <w:lang w:val="en-US" w:eastAsia="zh-CN"/>
        </w:rPr>
        <w:t>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w:t>
      </w:r>
      <w:r>
        <w:rPr>
          <w:rFonts w:hint="eastAsia" w:eastAsia="仿宋_GB2312"/>
          <w:color w:val="000000"/>
          <w:sz w:val="32"/>
          <w:szCs w:val="32"/>
          <w:lang w:eastAsia="zh-CN"/>
        </w:rPr>
        <w:t>合</w:t>
      </w:r>
      <w:r>
        <w:rPr>
          <w:rFonts w:hint="eastAsia" w:ascii="Times New Roman" w:hAnsi="Times New Roman" w:eastAsia="仿宋_GB2312"/>
          <w:color w:val="000000"/>
          <w:sz w:val="32"/>
          <w:szCs w:val="32"/>
          <w:lang w:eastAsia="zh-CN"/>
        </w:rPr>
        <w:t>计</w:t>
      </w:r>
      <w:r>
        <w:rPr>
          <w:rFonts w:hint="eastAsia" w:eastAsia="仿宋_GB2312"/>
          <w:color w:val="000000"/>
          <w:sz w:val="32"/>
          <w:szCs w:val="32"/>
          <w:lang w:val="en-US" w:eastAsia="zh-CN"/>
        </w:rPr>
        <w:t>48</w:t>
      </w:r>
      <w:r>
        <w:rPr>
          <w:rFonts w:hint="eastAsia" w:ascii="Times New Roman" w:hAnsi="Times New Roman" w:eastAsia="仿宋_GB2312"/>
          <w:color w:val="000000"/>
          <w:sz w:val="32"/>
          <w:szCs w:val="32"/>
          <w:lang w:val="en-US" w:eastAsia="zh-CN"/>
        </w:rPr>
        <w:t>条；</w:t>
      </w:r>
      <w:r>
        <w:rPr>
          <w:rFonts w:hint="eastAsia" w:eastAsia="仿宋_GB2312"/>
          <w:color w:val="000000"/>
          <w:sz w:val="32"/>
          <w:szCs w:val="32"/>
          <w:lang w:val="en-US" w:eastAsia="zh-CN"/>
        </w:rPr>
        <w:t>均以我局工作动态、民生信息为主，做到了及时准确公开，</w:t>
      </w:r>
      <w:r>
        <w:rPr>
          <w:rFonts w:hint="eastAsia" w:ascii="Times New Roman" w:hAnsi="Times New Roman" w:eastAsia="仿宋_GB2312"/>
          <w:color w:val="000000"/>
          <w:sz w:val="32"/>
          <w:szCs w:val="32"/>
        </w:rPr>
        <w:t>有效提升了公共服务水平，促进了政府信息公开工作的深入开展。</w:t>
      </w:r>
    </w:p>
    <w:p>
      <w:pPr>
        <w:pStyle w:val="11"/>
        <w:keepNext w:val="0"/>
        <w:keepLines w:val="0"/>
        <w:pageBreakBefore w:val="0"/>
        <w:widowControl w:val="0"/>
        <w:shd w:val="clear" w:color="auto" w:fill="auto"/>
        <w:tabs>
          <w:tab w:val="left" w:pos="1234"/>
        </w:tabs>
        <w:kinsoku/>
        <w:wordWrap/>
        <w:overflowPunct/>
        <w:topLinePunct w:val="0"/>
        <w:autoSpaceDE/>
        <w:autoSpaceDN/>
        <w:bidi w:val="0"/>
        <w:adjustRightInd/>
        <w:snapToGrid/>
        <w:spacing w:before="0" w:after="0" w:line="560" w:lineRule="exact"/>
        <w:ind w:left="0" w:right="0" w:firstLine="62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二</w:t>
      </w:r>
      <w:bookmarkEnd w:id="4"/>
      <w:r>
        <w:rPr>
          <w:rFonts w:hint="eastAsia" w:ascii="黑体" w:hAnsi="黑体" w:eastAsia="黑体" w:cs="黑体"/>
          <w:color w:val="000000" w:themeColor="text1"/>
          <w:spacing w:val="0"/>
          <w:w w:val="100"/>
          <w:position w:val="0"/>
          <w:sz w:val="32"/>
          <w:szCs w:val="32"/>
          <w14:textFill>
            <w14:solidFill>
              <w14:schemeClr w14:val="tx1"/>
            </w14:solidFill>
          </w14:textFill>
        </w:rPr>
        <w:t>、主动公开政府信息情况</w:t>
      </w:r>
    </w:p>
    <w:tbl>
      <w:tblPr>
        <w:tblStyle w:val="3"/>
        <w:tblW w:w="0" w:type="auto"/>
        <w:jc w:val="center"/>
        <w:tblLayout w:type="fixed"/>
        <w:tblCellMar>
          <w:top w:w="0" w:type="dxa"/>
          <w:left w:w="10" w:type="dxa"/>
          <w:bottom w:w="0" w:type="dxa"/>
          <w:right w:w="10" w:type="dxa"/>
        </w:tblCellMar>
      </w:tblPr>
      <w:tblGrid>
        <w:gridCol w:w="3019"/>
        <w:gridCol w:w="2102"/>
        <w:gridCol w:w="1445"/>
        <w:gridCol w:w="1939"/>
      </w:tblGrid>
      <w:tr>
        <w:tblPrEx>
          <w:tblCellMar>
            <w:top w:w="0" w:type="dxa"/>
            <w:left w:w="10" w:type="dxa"/>
            <w:bottom w:w="0" w:type="dxa"/>
            <w:right w:w="10" w:type="dxa"/>
          </w:tblCellMar>
        </w:tblPrEx>
        <w:trPr>
          <w:trHeight w:val="576" w:hRule="exact"/>
          <w:jc w:val="center"/>
        </w:trPr>
        <w:tc>
          <w:tcPr>
            <w:tcW w:w="8505" w:type="dxa"/>
            <w:gridSpan w:val="4"/>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第二十条第（一）项</w:t>
            </w:r>
          </w:p>
        </w:tc>
      </w:tr>
      <w:tr>
        <w:tblPrEx>
          <w:tblCellMar>
            <w:top w:w="0" w:type="dxa"/>
            <w:left w:w="10" w:type="dxa"/>
            <w:bottom w:w="0" w:type="dxa"/>
            <w:right w:w="10" w:type="dxa"/>
          </w:tblCellMar>
        </w:tblPrEx>
        <w:trPr>
          <w:trHeight w:val="562" w:hRule="exact"/>
          <w:jc w:val="center"/>
        </w:trPr>
        <w:tc>
          <w:tcPr>
            <w:tcW w:w="3019"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信息内容</w:t>
            </w:r>
          </w:p>
        </w:tc>
        <w:tc>
          <w:tcPr>
            <w:tcW w:w="210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20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本年新制作数量</w:t>
            </w:r>
          </w:p>
        </w:tc>
        <w:tc>
          <w:tcPr>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本年新公开数量</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对外公开总数量</w:t>
            </w:r>
          </w:p>
        </w:tc>
      </w:tr>
      <w:tr>
        <w:tblPrEx>
          <w:tblCellMar>
            <w:top w:w="0" w:type="dxa"/>
            <w:left w:w="10" w:type="dxa"/>
            <w:bottom w:w="0" w:type="dxa"/>
            <w:right w:w="10" w:type="dxa"/>
          </w:tblCellMar>
        </w:tblPrEx>
        <w:trPr>
          <w:trHeight w:val="601"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规章</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2</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10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10</w:t>
            </w:r>
          </w:p>
        </w:tc>
      </w:tr>
      <w:tr>
        <w:tblPrEx>
          <w:tblCellMar>
            <w:top w:w="0" w:type="dxa"/>
            <w:left w:w="10" w:type="dxa"/>
            <w:bottom w:w="0" w:type="dxa"/>
            <w:right w:w="10" w:type="dxa"/>
          </w:tblCellMar>
        </w:tblPrEx>
        <w:trPr>
          <w:trHeight w:val="571"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规范性文件</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317</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9</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9</w:t>
            </w:r>
          </w:p>
        </w:tc>
      </w:tr>
      <w:tr>
        <w:tblPrEx>
          <w:tblCellMar>
            <w:top w:w="0" w:type="dxa"/>
            <w:left w:w="10" w:type="dxa"/>
            <w:bottom w:w="0" w:type="dxa"/>
            <w:right w:w="10" w:type="dxa"/>
          </w:tblCellMar>
        </w:tblPrEx>
        <w:trPr>
          <w:trHeight w:val="461" w:hRule="exact"/>
          <w:jc w:val="center"/>
        </w:trPr>
        <w:tc>
          <w:tcPr>
            <w:tcW w:w="8505" w:type="dxa"/>
            <w:gridSpan w:val="4"/>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第二十条第（五）项</w:t>
            </w:r>
          </w:p>
        </w:tc>
      </w:tr>
      <w:tr>
        <w:tblPrEx>
          <w:tblCellMar>
            <w:top w:w="0" w:type="dxa"/>
            <w:left w:w="10" w:type="dxa"/>
            <w:bottom w:w="0" w:type="dxa"/>
            <w:right w:w="10" w:type="dxa"/>
          </w:tblCellMar>
        </w:tblPrEx>
        <w:trPr>
          <w:trHeight w:val="566" w:hRule="exact"/>
          <w:jc w:val="center"/>
        </w:trPr>
        <w:tc>
          <w:tcPr>
            <w:tcW w:w="3019"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信息内容</w:t>
            </w:r>
          </w:p>
        </w:tc>
        <w:tc>
          <w:tcPr>
            <w:tcW w:w="210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上一年项目数量</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本年增/减</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处理决定数量</w:t>
            </w:r>
          </w:p>
        </w:tc>
      </w:tr>
      <w:tr>
        <w:tblPrEx>
          <w:tblCellMar>
            <w:top w:w="0" w:type="dxa"/>
            <w:left w:w="10" w:type="dxa"/>
            <w:bottom w:w="0" w:type="dxa"/>
            <w:right w:w="10" w:type="dxa"/>
          </w:tblCellMar>
        </w:tblPrEx>
        <w:trPr>
          <w:trHeight w:val="536"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行政许可</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1项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5</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5件</w:t>
            </w:r>
          </w:p>
        </w:tc>
      </w:tr>
      <w:tr>
        <w:tblPrEx>
          <w:tblCellMar>
            <w:top w:w="0" w:type="dxa"/>
            <w:left w:w="10" w:type="dxa"/>
            <w:bottom w:w="0" w:type="dxa"/>
            <w:right w:w="10" w:type="dxa"/>
          </w:tblCellMar>
        </w:tblPrEx>
        <w:trPr>
          <w:trHeight w:val="571"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其他对外管理服务事项</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7项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r>
      <w:tr>
        <w:tblPrEx>
          <w:tblCellMar>
            <w:top w:w="0" w:type="dxa"/>
            <w:left w:w="10" w:type="dxa"/>
            <w:bottom w:w="0" w:type="dxa"/>
            <w:right w:w="10" w:type="dxa"/>
          </w:tblCellMar>
        </w:tblPrEx>
        <w:trPr>
          <w:trHeight w:val="541" w:hRule="exact"/>
          <w:jc w:val="center"/>
        </w:trPr>
        <w:tc>
          <w:tcPr>
            <w:tcW w:w="8505" w:type="dxa"/>
            <w:gridSpan w:val="4"/>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第二十条第（六）项</w:t>
            </w:r>
          </w:p>
        </w:tc>
      </w:tr>
      <w:tr>
        <w:tblPrEx>
          <w:tblCellMar>
            <w:top w:w="0" w:type="dxa"/>
            <w:left w:w="10" w:type="dxa"/>
            <w:bottom w:w="0" w:type="dxa"/>
            <w:right w:w="10" w:type="dxa"/>
          </w:tblCellMar>
        </w:tblPrEx>
        <w:trPr>
          <w:trHeight w:val="556" w:hRule="exact"/>
          <w:jc w:val="center"/>
        </w:trPr>
        <w:tc>
          <w:tcPr>
            <w:tcW w:w="3019"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信息内容</w:t>
            </w:r>
          </w:p>
        </w:tc>
        <w:tc>
          <w:tcPr>
            <w:tcW w:w="2102"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上一年项目数量</w:t>
            </w:r>
          </w:p>
        </w:tc>
        <w:tc>
          <w:tcPr>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本年增/减</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处理决定数量</w:t>
            </w:r>
          </w:p>
        </w:tc>
      </w:tr>
      <w:tr>
        <w:tblPrEx>
          <w:tblCellMar>
            <w:top w:w="0" w:type="dxa"/>
            <w:left w:w="10" w:type="dxa"/>
            <w:bottom w:w="0" w:type="dxa"/>
            <w:right w:w="10" w:type="dxa"/>
          </w:tblCellMar>
        </w:tblPrEx>
        <w:trPr>
          <w:trHeight w:val="696"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行政处罚</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16项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2</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2</w:t>
            </w:r>
          </w:p>
        </w:tc>
      </w:tr>
      <w:tr>
        <w:tblPrEx>
          <w:tblCellMar>
            <w:top w:w="0" w:type="dxa"/>
            <w:left w:w="10" w:type="dxa"/>
            <w:bottom w:w="0" w:type="dxa"/>
            <w:right w:w="10" w:type="dxa"/>
          </w:tblCellMar>
        </w:tblPrEx>
        <w:trPr>
          <w:trHeight w:val="461"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行政强制</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r>
      <w:tr>
        <w:tblPrEx>
          <w:tblCellMar>
            <w:top w:w="0" w:type="dxa"/>
            <w:left w:w="10" w:type="dxa"/>
            <w:bottom w:w="0" w:type="dxa"/>
            <w:right w:w="10" w:type="dxa"/>
          </w:tblCellMar>
        </w:tblPrEx>
        <w:trPr>
          <w:trHeight w:val="526" w:hRule="exact"/>
          <w:jc w:val="center"/>
        </w:trPr>
        <w:tc>
          <w:tcPr>
            <w:tcW w:w="8505" w:type="dxa"/>
            <w:gridSpan w:val="4"/>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第二十条第（八）项</w:t>
            </w:r>
          </w:p>
        </w:tc>
      </w:tr>
      <w:tr>
        <w:tblPrEx>
          <w:tblCellMar>
            <w:top w:w="0" w:type="dxa"/>
            <w:left w:w="10" w:type="dxa"/>
            <w:bottom w:w="0" w:type="dxa"/>
            <w:right w:w="10" w:type="dxa"/>
          </w:tblCellMar>
        </w:tblPrEx>
        <w:trPr>
          <w:trHeight w:val="546" w:hRule="exact"/>
          <w:jc w:val="center"/>
        </w:trPr>
        <w:tc>
          <w:tcPr>
            <w:tcW w:w="3019"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信息内容</w:t>
            </w:r>
          </w:p>
        </w:tc>
        <w:tc>
          <w:tcPr>
            <w:tcW w:w="2102"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上一年项目数量</w:t>
            </w:r>
          </w:p>
        </w:tc>
        <w:tc>
          <w:tcPr>
            <w:gridSpan w:val="2"/>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本年增/减</w:t>
            </w:r>
          </w:p>
        </w:tc>
      </w:tr>
      <w:tr>
        <w:tblPrEx>
          <w:tblCellMar>
            <w:top w:w="0" w:type="dxa"/>
            <w:left w:w="10" w:type="dxa"/>
            <w:bottom w:w="0" w:type="dxa"/>
            <w:right w:w="10" w:type="dxa"/>
          </w:tblCellMar>
        </w:tblPrEx>
        <w:trPr>
          <w:trHeight w:val="627" w:hRule="exact"/>
          <w:jc w:val="center"/>
        </w:trPr>
        <w:tc>
          <w:tcPr>
            <w:tcW w:w="3019"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行政事业性收费</w:t>
            </w:r>
          </w:p>
        </w:tc>
        <w:tc>
          <w:tcPr>
            <w:tcW w:w="2102"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ascii="宋体" w:hAnsi="宋体" w:eastAsia="宋体" w:cs="宋体"/>
                <w:sz w:val="24"/>
                <w:szCs w:val="24"/>
              </w:rPr>
              <w:t>19</w:t>
            </w: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0</w:t>
            </w:r>
          </w:p>
        </w:tc>
      </w:tr>
      <w:tr>
        <w:tblPrEx>
          <w:tblCellMar>
            <w:top w:w="0" w:type="dxa"/>
            <w:left w:w="10" w:type="dxa"/>
            <w:bottom w:w="0" w:type="dxa"/>
            <w:right w:w="10" w:type="dxa"/>
          </w:tblCellMar>
        </w:tblPrEx>
        <w:trPr>
          <w:trHeight w:val="586" w:hRule="exact"/>
          <w:jc w:val="center"/>
        </w:trPr>
        <w:tc>
          <w:tcPr>
            <w:tcW w:w="8505" w:type="dxa"/>
            <w:gridSpan w:val="4"/>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第二十条第（九）项</w:t>
            </w:r>
          </w:p>
        </w:tc>
      </w:tr>
      <w:tr>
        <w:tblPrEx>
          <w:tblCellMar>
            <w:top w:w="0" w:type="dxa"/>
            <w:left w:w="10" w:type="dxa"/>
            <w:bottom w:w="0" w:type="dxa"/>
            <w:right w:w="10" w:type="dxa"/>
          </w:tblCellMar>
        </w:tblPrEx>
        <w:trPr>
          <w:trHeight w:val="531" w:hRule="exact"/>
          <w:jc w:val="center"/>
        </w:trPr>
        <w:tc>
          <w:tcPr>
            <w:tcW w:w="3019"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信息内容</w:t>
            </w:r>
          </w:p>
        </w:tc>
        <w:tc>
          <w:tcPr>
            <w:tcW w:w="2102"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采购项目数量</w:t>
            </w:r>
          </w:p>
        </w:tc>
        <w:tc>
          <w:tcPr>
            <w:gridSpan w:val="2"/>
            <w:tcBorders>
              <w:top w:val="single" w:color="auto" w:sz="4" w:space="0"/>
              <w:left w:val="single" w:color="auto" w:sz="4" w:space="0"/>
              <w:righ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釆购总金额</w:t>
            </w:r>
          </w:p>
        </w:tc>
      </w:tr>
      <w:tr>
        <w:tblPrEx>
          <w:tblCellMar>
            <w:top w:w="0" w:type="dxa"/>
            <w:left w:w="10" w:type="dxa"/>
            <w:bottom w:w="0" w:type="dxa"/>
            <w:right w:w="10" w:type="dxa"/>
          </w:tblCellMar>
        </w:tblPrEx>
        <w:trPr>
          <w:trHeight w:val="681" w:hRule="exact"/>
          <w:jc w:val="center"/>
        </w:trPr>
        <w:tc>
          <w:tcPr>
            <w:tcW w:w="3019" w:type="dxa"/>
            <w:tcBorders>
              <w:top w:val="single" w:color="auto" w:sz="4" w:space="0"/>
              <w:left w:val="single" w:color="auto" w:sz="4" w:space="0"/>
              <w:bottom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4"/>
                <w:szCs w:val="24"/>
                <w14:textFill>
                  <w14:solidFill>
                    <w14:schemeClr w14:val="tx1"/>
                  </w14:solidFill>
                </w14:textFill>
              </w:rPr>
            </w:pPr>
            <w:r>
              <w:rPr>
                <w:rFonts w:ascii="Times New Roman" w:hAnsi="Times New Roman" w:eastAsia="仿宋_GB2312" w:cs="仿宋_GB2312"/>
                <w:color w:val="000000" w:themeColor="text1"/>
                <w:spacing w:val="0"/>
                <w:w w:val="100"/>
                <w:position w:val="0"/>
                <w:sz w:val="24"/>
                <w:szCs w:val="24"/>
                <w14:textFill>
                  <w14:solidFill>
                    <w14:schemeClr w14:val="tx1"/>
                  </w14:solidFill>
                </w14:textFill>
              </w:rPr>
              <w:t>政府集中采购</w:t>
            </w:r>
          </w:p>
        </w:tc>
        <w:tc>
          <w:tcPr>
            <w:tcW w:w="210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82宗</w:t>
            </w: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仿宋_GB2312" w:cs="仿宋_GB2312"/>
                <w:color w:val="000000" w:themeColor="text1"/>
                <w:sz w:val="24"/>
                <w:szCs w:val="24"/>
                <w:lang w:val="en-US" w:eastAsia="zh-CN"/>
                <w14:textFill>
                  <w14:solidFill>
                    <w14:schemeClr w14:val="tx1"/>
                  </w14:solidFill>
                </w14:textFill>
              </w:rPr>
            </w:pPr>
            <w:r>
              <w:rPr>
                <w:rFonts w:hint="eastAsia" w:eastAsia="仿宋_GB2312" w:cs="仿宋_GB2312"/>
                <w:color w:val="000000" w:themeColor="text1"/>
                <w:sz w:val="24"/>
                <w:szCs w:val="24"/>
                <w:lang w:val="en-US" w:eastAsia="zh-CN"/>
                <w14:textFill>
                  <w14:solidFill>
                    <w14:schemeClr w14:val="tx1"/>
                  </w14:solidFill>
                </w14:textFill>
              </w:rPr>
              <w:t>10200万元</w:t>
            </w:r>
          </w:p>
        </w:tc>
      </w:tr>
    </w:tbl>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pacing w:val="0"/>
          <w:w w:val="100"/>
          <w:position w:val="0"/>
          <w:sz w:val="32"/>
          <w:szCs w:val="32"/>
          <w14:textFill>
            <w14:solidFill>
              <w14:schemeClr w14:val="tx1"/>
            </w14:solidFill>
          </w14:textFill>
        </w:rPr>
        <w:t>三、收到和处理政府信息公开申请情况</w:t>
      </w:r>
    </w:p>
    <w:tbl>
      <w:tblPr>
        <w:tblStyle w:val="3"/>
        <w:tblW w:w="0" w:type="auto"/>
        <w:jc w:val="center"/>
        <w:tblLayout w:type="fixed"/>
        <w:tblCellMar>
          <w:top w:w="0" w:type="dxa"/>
          <w:left w:w="10" w:type="dxa"/>
          <w:bottom w:w="0" w:type="dxa"/>
          <w:right w:w="10" w:type="dxa"/>
        </w:tblCellMar>
      </w:tblPr>
      <w:tblGrid>
        <w:gridCol w:w="514"/>
        <w:gridCol w:w="1502"/>
        <w:gridCol w:w="2534"/>
        <w:gridCol w:w="605"/>
        <w:gridCol w:w="547"/>
        <w:gridCol w:w="557"/>
        <w:gridCol w:w="547"/>
        <w:gridCol w:w="552"/>
        <w:gridCol w:w="552"/>
        <w:gridCol w:w="624"/>
      </w:tblGrid>
      <w:tr>
        <w:tblPrEx>
          <w:tblCellMar>
            <w:top w:w="0" w:type="dxa"/>
            <w:left w:w="10" w:type="dxa"/>
            <w:bottom w:w="0" w:type="dxa"/>
            <w:right w:w="10" w:type="dxa"/>
          </w:tblCellMar>
        </w:tblPrEx>
        <w:trPr>
          <w:trHeight w:val="570" w:hRule="exact"/>
          <w:jc w:val="center"/>
        </w:trPr>
        <w:tc>
          <w:tcPr>
            <w:gridSpan w:val="3"/>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（本列数据的勾稽关系为：第一项加第二项之和， 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申请人情况</w:t>
            </w:r>
          </w:p>
        </w:tc>
      </w:tr>
      <w:tr>
        <w:tblPrEx>
          <w:tblCellMar>
            <w:top w:w="0" w:type="dxa"/>
            <w:left w:w="10" w:type="dxa"/>
            <w:bottom w:w="0" w:type="dxa"/>
            <w:right w:w="10" w:type="dxa"/>
          </w:tblCellMar>
        </w:tblPrEx>
        <w:trPr>
          <w:trHeight w:val="557" w:hRule="exact"/>
          <w:jc w:val="center"/>
        </w:trPr>
        <w:tc>
          <w:tcPr>
            <w:gridSpan w:val="3"/>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自然人</w:t>
            </w:r>
          </w:p>
        </w:tc>
        <w:tc>
          <w:tcPr>
            <w:gridSpan w:val="5"/>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法人或其他组织</w:t>
            </w:r>
          </w:p>
        </w:tc>
        <w:tc>
          <w:tcPr>
            <w:vMerge w:val="restart"/>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总计</w:t>
            </w:r>
          </w:p>
        </w:tc>
      </w:tr>
      <w:tr>
        <w:tblPrEx>
          <w:tblCellMar>
            <w:top w:w="0" w:type="dxa"/>
            <w:left w:w="10" w:type="dxa"/>
            <w:bottom w:w="0" w:type="dxa"/>
            <w:right w:w="10" w:type="dxa"/>
          </w:tblCellMar>
        </w:tblPrEx>
        <w:trPr>
          <w:trHeight w:val="1118" w:hRule="exact"/>
          <w:jc w:val="center"/>
        </w:trPr>
        <w:tc>
          <w:tcPr>
            <w:gridSpan w:val="3"/>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商业 企业</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科研 机构</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社会 公益 组织</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法律 服务 机构</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righ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其他</w:t>
            </w: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r>
      <w:tr>
        <w:tblPrEx>
          <w:tblCellMar>
            <w:top w:w="0" w:type="dxa"/>
            <w:left w:w="10" w:type="dxa"/>
            <w:bottom w:w="0" w:type="dxa"/>
            <w:right w:w="10" w:type="dxa"/>
          </w:tblCellMar>
        </w:tblPrEx>
        <w:trPr>
          <w:trHeight w:val="637" w:hRule="exact"/>
          <w:jc w:val="center"/>
        </w:trPr>
        <w:tc>
          <w:tcPr>
            <w:gridSpan w:val="3"/>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一、本年新收政府信息公开申请数量</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56" w:hRule="exact"/>
          <w:jc w:val="center"/>
        </w:trPr>
        <w:tc>
          <w:tcPr>
            <w:gridSpan w:val="3"/>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二、上年结转政府信息公开申请数量</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z w:val="21"/>
                <w:szCs w:val="21"/>
                <w:lang w:val="en-US" w:eastAsia="zh-CN"/>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89" w:hRule="exact"/>
          <w:jc w:val="center"/>
        </w:trPr>
        <w:tc>
          <w:tcPr>
            <w:vMerge w:val="restart"/>
            <w:tcBorders>
              <w:top w:val="single" w:color="auto" w:sz="4" w:space="0"/>
              <w:left w:val="single" w:color="auto" w:sz="4" w:space="0"/>
            </w:tcBorders>
            <w:shd w:val="clear" w:color="auto" w:fill="FFFFFF"/>
            <w:textDirection w:val="tbRlV"/>
            <w:vAlign w:val="center"/>
          </w:tcPr>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三' 本年度办理结果</w:t>
            </w:r>
          </w:p>
        </w:tc>
        <w:tc>
          <w:tcPr>
            <w:gridSpan w:val="2"/>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（一）予以公开</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438"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（二）部分公开（区分处理的，只计这一情 形，不计其他情形）</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8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（三）不予公开</w:t>
            </w:r>
          </w:p>
        </w:tc>
        <w:tc>
          <w:tcPr>
            <w:tcW w:w="2534"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属于国家秘密</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06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其他法律行政法规禁止公开</w:t>
            </w:r>
          </w:p>
        </w:tc>
        <w:tc>
          <w:tcPr>
            <w:tcBorders>
              <w:top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82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危及"三安全一稳定"</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1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4.</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保护第三方合法权益</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0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5.</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属于三类内部事务信息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46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6.</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属于四类过程性信息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0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7.</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属于行政执法案卷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8.</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属于行政查询事项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（四）无法提供</w:t>
            </w: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本机关不掌握相关政府信息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09"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没有现成信息需要另行制作</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1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补正后申请内容仍不明确</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56"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（五）不予处理</w:t>
            </w:r>
          </w:p>
        </w:tc>
        <w:tc>
          <w:tcPr>
            <w:tcW w:w="2534" w:type="dxa"/>
            <w:tcBorders>
              <w:top w:val="single" w:color="auto" w:sz="4" w:space="0"/>
              <w:left w:val="single" w:color="auto" w:sz="4" w:space="0"/>
            </w:tcBorders>
            <w:shd w:val="clear" w:color="auto" w:fill="FFFFFF"/>
            <w:vAlign w:val="top"/>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1.</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信访举报投诉类申请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91"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2.</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重复申请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3.</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要求提供公开出版物</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340" w:right="0" w:hanging="340"/>
              <w:jc w:val="both"/>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4.</w:t>
            </w:r>
            <w:r>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t>无</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正当理由大量反复申请</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1282"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150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tcW w:w="2534"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340" w:right="0" w:hanging="34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lang w:val="en-US" w:eastAsia="en-US" w:bidi="en-US"/>
                <w14:textFill>
                  <w14:solidFill>
                    <w14:schemeClr w14:val="tx1"/>
                  </w14:solidFill>
                </w14:textFill>
              </w:rPr>
              <w:t>5.</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要求行政机关确认或重新出具已获取信息</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64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（六）其他处理</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734" w:hRule="exact"/>
          <w:jc w:val="center"/>
        </w:trPr>
        <w:tc>
          <w:tcPr>
            <w:vMerge w:val="continue"/>
            <w:tcBorders>
              <w:left w:val="single" w:color="auto" w:sz="4" w:space="0"/>
            </w:tcBorders>
            <w:shd w:val="clear" w:color="auto" w:fill="FFFFFF"/>
            <w:textDirection w:val="tbRlV"/>
            <w:vAlign w:val="center"/>
          </w:tcPr>
          <w:p>
            <w:pPr>
              <w:pageBreakBefore w:val="0"/>
              <w:widowControl w:val="0"/>
              <w:kinsoku/>
              <w:wordWrap/>
              <w:overflowPunct/>
              <w:topLinePunct w:val="0"/>
              <w:autoSpaceDE/>
              <w:autoSpaceDN/>
              <w:bidi w:val="0"/>
              <w:adjustRightInd/>
              <w:snapToGrid/>
              <w:spacing w:before="0" w:after="0" w:line="560" w:lineRule="exact"/>
              <w:ind w:left="0" w:right="0"/>
              <w:textAlignment w:val="auto"/>
              <w:rPr>
                <w:rFonts w:ascii="Times New Roman" w:hAnsi="Times New Roman" w:eastAsia="仿宋_GB2312" w:cs="仿宋_GB2312"/>
                <w:color w:val="000000" w:themeColor="text1"/>
                <w:sz w:val="21"/>
                <w:szCs w:val="21"/>
                <w14:textFill>
                  <w14:solidFill>
                    <w14:schemeClr w14:val="tx1"/>
                  </w14:solidFill>
                </w14:textFill>
              </w:rPr>
            </w:pPr>
          </w:p>
        </w:tc>
        <w:tc>
          <w:tcPr>
            <w:gridSpan w:val="2"/>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（七）总计</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r>
        <w:tblPrEx>
          <w:tblCellMar>
            <w:top w:w="0" w:type="dxa"/>
            <w:left w:w="10" w:type="dxa"/>
            <w:bottom w:w="0" w:type="dxa"/>
            <w:right w:w="10" w:type="dxa"/>
          </w:tblCellMar>
        </w:tblPrEx>
        <w:trPr>
          <w:trHeight w:val="461"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ascii="Times New Roman" w:hAnsi="Times New Roman" w:eastAsia="仿宋_GB2312" w:cs="仿宋_GB2312"/>
                <w:color w:val="000000" w:themeColor="text1"/>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四、结转下年度继续办理</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eastAsia="仿宋_GB2312" w:cs="仿宋_GB2312"/>
                <w:color w:val="000000" w:themeColor="text1"/>
                <w:sz w:val="21"/>
                <w:szCs w:val="21"/>
                <w:lang w:val="en-US" w:eastAsia="zh-CN"/>
                <w14:textFill>
                  <w14:solidFill>
                    <w14:schemeClr w14:val="tx1"/>
                  </w14:solidFill>
                </w14:textFill>
              </w:rPr>
              <w:t>0</w:t>
            </w:r>
          </w:p>
        </w:tc>
      </w:tr>
    </w:tbl>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560"/>
        <w:jc w:val="left"/>
        <w:textAlignment w:val="auto"/>
        <w:rPr>
          <w:rFonts w:hint="eastAsia" w:ascii="黑体" w:hAnsi="黑体" w:eastAsia="黑体" w:cs="黑体"/>
          <w:color w:val="000000" w:themeColor="text1"/>
          <w:sz w:val="32"/>
          <w:szCs w:val="32"/>
          <w14:textFill>
            <w14:solidFill>
              <w14:schemeClr w14:val="tx1"/>
            </w14:solidFill>
          </w14:textFill>
        </w:rPr>
      </w:pPr>
      <w:bookmarkStart w:id="5" w:name="bookmark37"/>
      <w:r>
        <w:rPr>
          <w:rFonts w:hint="eastAsia" w:ascii="黑体" w:hAnsi="黑体" w:eastAsia="黑体" w:cs="黑体"/>
          <w:color w:val="000000" w:themeColor="text1"/>
          <w:spacing w:val="0"/>
          <w:w w:val="100"/>
          <w:position w:val="0"/>
          <w:sz w:val="32"/>
          <w:szCs w:val="32"/>
          <w14:textFill>
            <w14:solidFill>
              <w14:schemeClr w14:val="tx1"/>
            </w14:solidFill>
          </w14:textFill>
        </w:rPr>
        <w:t>四</w:t>
      </w:r>
      <w:bookmarkEnd w:id="5"/>
      <w:r>
        <w:rPr>
          <w:rFonts w:hint="eastAsia" w:ascii="黑体" w:hAnsi="黑体" w:eastAsia="黑体" w:cs="黑体"/>
          <w:color w:val="000000" w:themeColor="text1"/>
          <w:spacing w:val="0"/>
          <w:w w:val="100"/>
          <w:position w:val="0"/>
          <w:sz w:val="32"/>
          <w:szCs w:val="32"/>
          <w14:textFill>
            <w14:solidFill>
              <w14:schemeClr w14:val="tx1"/>
            </w14:solidFill>
          </w14:textFill>
        </w:rPr>
        <w:t>、政府信息公开行政复议、行政诉讼情况</w:t>
      </w:r>
    </w:p>
    <w:tbl>
      <w:tblPr>
        <w:tblStyle w:val="3"/>
        <w:tblW w:w="0" w:type="auto"/>
        <w:jc w:val="center"/>
        <w:tblLayout w:type="fixed"/>
        <w:tblCellMar>
          <w:top w:w="0" w:type="dxa"/>
          <w:left w:w="10" w:type="dxa"/>
          <w:bottom w:w="0" w:type="dxa"/>
          <w:right w:w="10" w:type="dxa"/>
        </w:tblCellMar>
      </w:tblPr>
      <w:tblGrid>
        <w:gridCol w:w="624"/>
        <w:gridCol w:w="614"/>
        <w:gridCol w:w="614"/>
        <w:gridCol w:w="610"/>
        <w:gridCol w:w="557"/>
        <w:gridCol w:w="557"/>
        <w:gridCol w:w="557"/>
        <w:gridCol w:w="557"/>
        <w:gridCol w:w="552"/>
        <w:gridCol w:w="562"/>
        <w:gridCol w:w="552"/>
        <w:gridCol w:w="557"/>
        <w:gridCol w:w="547"/>
        <w:gridCol w:w="547"/>
        <w:gridCol w:w="562"/>
      </w:tblGrid>
      <w:tr>
        <w:tblPrEx>
          <w:tblCellMar>
            <w:top w:w="0" w:type="dxa"/>
            <w:left w:w="10" w:type="dxa"/>
            <w:bottom w:w="0" w:type="dxa"/>
            <w:right w:w="10" w:type="dxa"/>
          </w:tblCellMar>
        </w:tblPrEx>
        <w:trPr>
          <w:trHeight w:val="671" w:hRule="exact"/>
          <w:jc w:val="center"/>
        </w:trPr>
        <w:tc>
          <w:tcPr>
            <w:tcW w:w="3019" w:type="dxa"/>
            <w:gridSpan w:val="5"/>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行政复议</w:t>
            </w:r>
          </w:p>
        </w:tc>
        <w:tc>
          <w:tcPr>
            <w:tcW w:w="5550" w:type="dxa"/>
            <w:gridSpan w:val="10"/>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行政诉讼</w:t>
            </w:r>
          </w:p>
        </w:tc>
      </w:tr>
      <w:tr>
        <w:tblPrEx>
          <w:tblCellMar>
            <w:top w:w="0" w:type="dxa"/>
            <w:left w:w="10" w:type="dxa"/>
            <w:bottom w:w="0" w:type="dxa"/>
            <w:right w:w="10" w:type="dxa"/>
          </w:tblCellMar>
        </w:tblPrEx>
        <w:trPr>
          <w:trHeight w:val="836" w:hRule="exact"/>
          <w:jc w:val="center"/>
        </w:trPr>
        <w:tc>
          <w:tcPr>
            <w:tcW w:w="624"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结果 维持</w:t>
            </w:r>
          </w:p>
        </w:tc>
        <w:tc>
          <w:tcPr>
            <w:tcW w:w="614" w:type="dxa"/>
            <w:vMerge w:val="restart"/>
            <w:tcBorders>
              <w:top w:val="single" w:color="auto" w:sz="4" w:space="0"/>
              <w:left w:val="single" w:color="auto" w:sz="4" w:space="0"/>
            </w:tcBorders>
            <w:shd w:val="clear" w:color="auto" w:fill="FFFFFF"/>
            <w:textDirection w:val="tbRlV"/>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结果</w:t>
            </w:r>
            <w:r>
              <w:rPr>
                <w:rFonts w:ascii="Times New Roman" w:hAnsi="Times New Roman" w:eastAsia="仿宋_GB2312" w:cs="仿宋_GB2312"/>
                <w:color w:val="000000" w:themeColor="text1"/>
                <w:spacing w:val="0"/>
                <w:w w:val="100"/>
                <w:position w:val="0"/>
                <w:sz w:val="21"/>
                <w:szCs w:val="21"/>
                <w:lang w:val="en-US" w:eastAsia="en-US"/>
                <w14:textFill>
                  <w14:solidFill>
                    <w14:schemeClr w14:val="tx1"/>
                  </w14:solidFill>
                </w14:textFill>
              </w:rPr>
              <w:t xml:space="preserve"> </w:t>
            </w: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纠</w:t>
            </w:r>
            <w:r>
              <w:rPr>
                <w:rFonts w:hint="eastAsia" w:ascii="Times New Roman" w:hAnsi="Times New Roman" w:eastAsia="仿宋_GB2312" w:cs="仿宋_GB2312"/>
                <w:color w:val="000000" w:themeColor="text1"/>
                <w:spacing w:val="0"/>
                <w:w w:val="100"/>
                <w:position w:val="0"/>
                <w:sz w:val="21"/>
                <w:szCs w:val="21"/>
                <w:lang w:eastAsia="zh-CN"/>
                <w14:textFill>
                  <w14:solidFill>
                    <w14:schemeClr w14:val="tx1"/>
                  </w14:solidFill>
                </w14:textFill>
              </w:rPr>
              <w:t>正</w:t>
            </w:r>
          </w:p>
        </w:tc>
        <w:tc>
          <w:tcPr>
            <w:tcW w:w="614" w:type="dxa"/>
            <w:vMerge w:val="restart"/>
            <w:tcBorders>
              <w:top w:val="single" w:color="auto" w:sz="4" w:space="0"/>
              <w:left w:val="single" w:color="auto" w:sz="4" w:space="0"/>
            </w:tcBorders>
            <w:shd w:val="clear" w:color="auto" w:fill="FFFFFF"/>
            <w:textDirection w:val="tbRlV"/>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_GB2312" w:cs="仿宋_GB2312"/>
                <w:color w:val="000000" w:themeColor="text1"/>
                <w:spacing w:val="0"/>
                <w:w w:val="100"/>
                <w:position w:val="0"/>
                <w:sz w:val="21"/>
                <w:szCs w:val="21"/>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lang w:val="en-US" w:eastAsia="zh-CN"/>
                <w14:textFill>
                  <w14:solidFill>
                    <w14:schemeClr w14:val="tx1"/>
                  </w14:solidFill>
                </w14:textFill>
              </w:rPr>
              <w:t>其他结果</w:t>
            </w:r>
          </w:p>
        </w:tc>
        <w:tc>
          <w:tcPr>
            <w:tcW w:w="610"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尚</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未</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审</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结</w:t>
            </w:r>
          </w:p>
        </w:tc>
        <w:tc>
          <w:tcPr>
            <w:tcW w:w="557"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总</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计</w:t>
            </w:r>
          </w:p>
        </w:tc>
        <w:tc>
          <w:tcPr>
            <w:tcW w:w="2785" w:type="dxa"/>
            <w:gridSpan w:val="5"/>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未经复议直接起诉</w:t>
            </w:r>
          </w:p>
        </w:tc>
        <w:tc>
          <w:tcPr>
            <w:tcW w:w="2765" w:type="dxa"/>
            <w:gridSpan w:val="5"/>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14:textFill>
                  <w14:solidFill>
                    <w14:schemeClr w14:val="tx1"/>
                  </w14:solidFill>
                </w14:textFill>
              </w:rPr>
              <w:t>复议后起诉</w:t>
            </w:r>
          </w:p>
        </w:tc>
      </w:tr>
      <w:tr>
        <w:tblPrEx>
          <w:tblCellMar>
            <w:top w:w="0" w:type="dxa"/>
            <w:left w:w="10" w:type="dxa"/>
            <w:bottom w:w="0" w:type="dxa"/>
            <w:right w:w="10" w:type="dxa"/>
          </w:tblCellMar>
        </w:tblPrEx>
        <w:trPr>
          <w:trHeight w:val="2755" w:hRule="exact"/>
          <w:jc w:val="center"/>
        </w:trPr>
        <w:tc>
          <w:tcPr>
            <w:tcW w:w="624"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4" w:type="dxa"/>
            <w:vMerge w:val="continue"/>
            <w:tcBorders>
              <w:left w:val="single" w:color="auto" w:sz="4" w:space="0"/>
            </w:tcBorders>
            <w:shd w:val="clear" w:color="auto" w:fill="FFFFFF"/>
            <w:textDirection w:val="tbRlV"/>
            <w:vAlign w:val="bottom"/>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4" w:type="dxa"/>
            <w:vMerge w:val="continue"/>
            <w:tcBorders>
              <w:left w:val="single" w:color="auto" w:sz="4" w:space="0"/>
            </w:tcBorders>
            <w:shd w:val="clear" w:color="auto" w:fill="FFFFFF"/>
            <w:textDirection w:val="tbRlV"/>
            <w:vAlign w:val="bottom"/>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610"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57" w:type="dxa"/>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57"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维</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持</w:t>
            </w:r>
          </w:p>
        </w:tc>
        <w:tc>
          <w:tcPr>
            <w:tcW w:w="557"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纠</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正</w:t>
            </w:r>
          </w:p>
        </w:tc>
        <w:tc>
          <w:tcPr>
            <w:tcW w:w="557"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其</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他</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tc>
        <w:tc>
          <w:tcPr>
            <w:tcW w:w="552"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尚</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未</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审</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p>
        </w:tc>
        <w:tc>
          <w:tcPr>
            <w:tcW w:w="5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总 计</w:t>
            </w:r>
          </w:p>
        </w:tc>
        <w:tc>
          <w:tcPr>
            <w:tcW w:w="552" w:type="dxa"/>
            <w:tcBorders>
              <w:top w:val="single" w:color="auto" w:sz="4" w:space="0"/>
              <w:left w:val="single" w:color="auto" w:sz="4" w:space="0"/>
            </w:tcBorders>
            <w:shd w:val="clear" w:color="auto" w:fill="FFFFFF"/>
            <w:textDirection w:val="tbRlV"/>
            <w:vAlign w:val="center"/>
          </w:tcPr>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结果 维持</w:t>
            </w:r>
          </w:p>
        </w:tc>
        <w:tc>
          <w:tcPr>
            <w:tcW w:w="557" w:type="dxa"/>
            <w:tcBorders>
              <w:top w:val="single" w:color="auto" w:sz="4" w:space="0"/>
              <w:left w:val="single" w:color="auto" w:sz="4" w:space="0"/>
            </w:tcBorders>
            <w:shd w:val="clear" w:color="auto" w:fill="FFFFFF"/>
            <w:vAlign w:val="bottom"/>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纠</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正</w:t>
            </w:r>
          </w:p>
        </w:tc>
        <w:tc>
          <w:tcPr>
            <w:tcW w:w="547" w:type="dxa"/>
            <w:tcBorders>
              <w:top w:val="single" w:color="auto" w:sz="4" w:space="0"/>
              <w:left w:val="single" w:color="auto" w:sz="4" w:space="0"/>
            </w:tcBorders>
            <w:shd w:val="clear" w:color="auto" w:fill="FFFFFF"/>
            <w:textDirection w:val="tbRlV"/>
            <w:vAlign w:val="top"/>
          </w:tcPr>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其他结果</w:t>
            </w:r>
          </w:p>
        </w:tc>
        <w:tc>
          <w:tcPr>
            <w:tcW w:w="547"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尚</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未</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审</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结</w:t>
            </w:r>
          </w:p>
        </w:tc>
        <w:tc>
          <w:tcPr>
            <w:tcW w:w="562"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pPr>
            <w:r>
              <w:rPr>
                <w:rFonts w:ascii="Times New Roman" w:hAnsi="Times New Roman" w:eastAsia="仿宋_GB2312" w:cs="仿宋_GB2312"/>
                <w:color w:val="000000" w:themeColor="text1"/>
                <w:spacing w:val="0"/>
                <w:w w:val="100"/>
                <w:position w:val="0"/>
                <w:sz w:val="21"/>
                <w:szCs w:val="21"/>
                <w:u w:val="none"/>
                <w:shd w:val="clear" w:color="auto" w:fill="auto"/>
                <w:lang w:val="zh-TW" w:eastAsia="zh-TW" w:bidi="zh-TW"/>
                <w14:textFill>
                  <w14:solidFill>
                    <w14:schemeClr w14:val="tx1"/>
                  </w14:solidFill>
                </w14:textFill>
              </w:rPr>
              <w:t>总 计</w:t>
            </w:r>
          </w:p>
        </w:tc>
      </w:tr>
      <w:tr>
        <w:tblPrEx>
          <w:tblCellMar>
            <w:top w:w="0" w:type="dxa"/>
            <w:left w:w="10" w:type="dxa"/>
            <w:bottom w:w="0" w:type="dxa"/>
            <w:right w:w="10" w:type="dxa"/>
          </w:tblCellMar>
        </w:tblPrEx>
        <w:trPr>
          <w:trHeight w:val="840" w:hRule="exact"/>
          <w:jc w:val="center"/>
        </w:trPr>
        <w:tc>
          <w:tcPr>
            <w:tcW w:w="62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4"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610"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dashed"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6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2"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5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4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47" w:type="dxa"/>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21"/>
                <w:szCs w:val="21"/>
                <w:u w:val="none"/>
                <w:shd w:val="clear" w:color="auto" w:fill="auto"/>
                <w:lang w:val="en-US" w:eastAsia="zh-CN" w:bidi="zh-TW"/>
                <w14:textFill>
                  <w14:solidFill>
                    <w14:schemeClr w14:val="tx1"/>
                  </w14:solidFill>
                </w14:textFill>
              </w:rPr>
              <w:t>0</w:t>
            </w:r>
          </w:p>
        </w:tc>
      </w:tr>
    </w:tbl>
    <w:p>
      <w:pPr>
        <w:pStyle w:val="11"/>
        <w:keepNext w:val="0"/>
        <w:keepLines w:val="0"/>
        <w:pageBreakBefore w:val="0"/>
        <w:widowControl w:val="0"/>
        <w:shd w:val="clear" w:color="auto" w:fill="auto"/>
        <w:tabs>
          <w:tab w:val="left" w:pos="1179"/>
        </w:tabs>
        <w:kinsoku/>
        <w:wordWrap/>
        <w:overflowPunct/>
        <w:topLinePunct w:val="0"/>
        <w:autoSpaceDE/>
        <w:autoSpaceDN/>
        <w:bidi w:val="0"/>
        <w:adjustRightInd/>
        <w:snapToGrid/>
        <w:spacing w:before="0" w:after="0" w:line="560" w:lineRule="exact"/>
        <w:ind w:left="0" w:right="0" w:firstLine="560"/>
        <w:jc w:val="left"/>
        <w:textAlignment w:val="auto"/>
        <w:rPr>
          <w:rFonts w:hint="eastAsia" w:ascii="黑体" w:hAnsi="黑体" w:eastAsia="黑体" w:cs="黑体"/>
          <w:color w:val="000000" w:themeColor="text1"/>
          <w:sz w:val="32"/>
          <w:szCs w:val="32"/>
          <w14:textFill>
            <w14:solidFill>
              <w14:schemeClr w14:val="tx1"/>
            </w14:solidFill>
          </w14:textFill>
        </w:rPr>
      </w:pPr>
      <w:bookmarkStart w:id="6" w:name="bookmark38"/>
      <w:r>
        <w:rPr>
          <w:rFonts w:hint="eastAsia" w:ascii="黑体" w:hAnsi="黑体" w:eastAsia="黑体" w:cs="黑体"/>
          <w:color w:val="000000" w:themeColor="text1"/>
          <w:spacing w:val="0"/>
          <w:w w:val="100"/>
          <w:position w:val="0"/>
          <w:sz w:val="32"/>
          <w:szCs w:val="32"/>
          <w14:textFill>
            <w14:solidFill>
              <w14:schemeClr w14:val="tx1"/>
            </w14:solidFill>
          </w14:textFill>
        </w:rPr>
        <w:t>五</w:t>
      </w:r>
      <w:bookmarkEnd w:id="6"/>
      <w:r>
        <w:rPr>
          <w:rFonts w:hint="eastAsia" w:ascii="黑体" w:hAnsi="黑体" w:eastAsia="黑体" w:cs="黑体"/>
          <w:color w:val="000000" w:themeColor="text1"/>
          <w:spacing w:val="0"/>
          <w:w w:val="100"/>
          <w:position w:val="0"/>
          <w:sz w:val="32"/>
          <w:szCs w:val="32"/>
          <w14:textFill>
            <w14:solidFill>
              <w14:schemeClr w14:val="tx1"/>
            </w14:solidFill>
          </w14:textFill>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bookmarkStart w:id="7" w:name="bookmark39"/>
      <w:r>
        <w:rPr>
          <w:rFonts w:hint="eastAsia" w:ascii="楷体_GB2312" w:hAnsi="楷体_GB2312" w:eastAsia="楷体_GB2312" w:cs="楷体_GB2312"/>
          <w:b w:val="0"/>
          <w:bCs w:val="0"/>
          <w:color w:val="000000"/>
          <w:sz w:val="32"/>
          <w:szCs w:val="32"/>
        </w:rPr>
        <w:t>（一）工作中存在的主要问题和困难</w:t>
      </w:r>
      <w:bookmarkStart w:id="8" w:name="_GoBack"/>
      <w:bookmarkEnd w:id="8"/>
      <w:r>
        <w:rPr>
          <w:rFonts w:hint="eastAsia" w:eastAsia="仿宋_GB2312"/>
          <w:color w:val="000000"/>
          <w:sz w:val="32"/>
          <w:szCs w:val="32"/>
          <w:lang w:eastAsia="zh-CN"/>
        </w:rPr>
        <w:t>。</w:t>
      </w:r>
      <w:r>
        <w:rPr>
          <w:rFonts w:hint="eastAsia" w:ascii="Times New Roman" w:hAnsi="Times New Roman" w:eastAsia="仿宋_GB2312"/>
          <w:color w:val="000000"/>
          <w:sz w:val="32"/>
          <w:szCs w:val="32"/>
        </w:rPr>
        <w:t>20</w:t>
      </w:r>
      <w:r>
        <w:rPr>
          <w:rFonts w:hint="eastAsia" w:eastAsia="仿宋_GB2312"/>
          <w:color w:val="000000"/>
          <w:sz w:val="32"/>
          <w:szCs w:val="32"/>
          <w:lang w:val="en-US" w:eastAsia="zh-CN"/>
        </w:rPr>
        <w:t>20</w:t>
      </w:r>
      <w:r>
        <w:rPr>
          <w:rFonts w:hint="eastAsia" w:ascii="Times New Roman" w:hAnsi="Times New Roman" w:eastAsia="仿宋_GB2312"/>
          <w:color w:val="000000"/>
          <w:sz w:val="32"/>
          <w:szCs w:val="32"/>
        </w:rPr>
        <w:t>年，我局政府信息公开工作顺利推进，但仍存在一些不足，</w:t>
      </w:r>
      <w:r>
        <w:rPr>
          <w:rFonts w:hint="eastAsia" w:ascii="Times New Roman" w:hAnsi="Times New Roman" w:eastAsia="仿宋_GB2312"/>
          <w:b/>
          <w:bCs/>
          <w:color w:val="000000"/>
          <w:sz w:val="32"/>
          <w:szCs w:val="32"/>
        </w:rPr>
        <w:t>一是</w:t>
      </w:r>
      <w:r>
        <w:rPr>
          <w:rFonts w:hint="eastAsia" w:eastAsia="仿宋_GB2312"/>
          <w:b w:val="0"/>
          <w:bCs w:val="0"/>
          <w:color w:val="000000"/>
          <w:sz w:val="32"/>
          <w:szCs w:val="32"/>
          <w:lang w:eastAsia="zh-CN"/>
        </w:rPr>
        <w:t>一些</w:t>
      </w:r>
      <w:r>
        <w:rPr>
          <w:rFonts w:hint="eastAsia" w:ascii="Times New Roman" w:hAnsi="Times New Roman" w:eastAsia="仿宋_GB2312"/>
          <w:color w:val="000000"/>
          <w:sz w:val="32"/>
          <w:szCs w:val="32"/>
        </w:rPr>
        <w:t>股室对于政府信息公开的重视程度不够，一部分工作人员仍然缺乏政府信息公开的意识，需要进一步提高干部对政府信息公开和主动公开政府信息工作重要性的认识；</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针对一些政府信息，是否应当主动公开有时不容易明确；</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群众利用政府信息公开网站获取信息率不高，大多数群众采用电话或者现场咨询方式获取公共服务事项的有关信息。我局会在今后工作中予以高度重视，加强学习培训，积极争取上级部门的支持和指导，进一步制定有效整改措施，不断推进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楷体_GB2312" w:hAnsi="楷体_GB2312" w:eastAsia="楷体_GB2312" w:cs="楷体_GB2312"/>
          <w:b w:val="0"/>
          <w:bCs w:val="0"/>
          <w:color w:val="000000"/>
          <w:sz w:val="32"/>
          <w:szCs w:val="32"/>
        </w:rPr>
        <w:t>（二）具体的解决办法和改进措施。</w:t>
      </w:r>
      <w:r>
        <w:rPr>
          <w:rFonts w:hint="eastAsia" w:ascii="Times New Roman" w:hAnsi="Times New Roman" w:eastAsia="仿宋_GB2312"/>
          <w:color w:val="000000"/>
          <w:sz w:val="32"/>
          <w:szCs w:val="32"/>
        </w:rPr>
        <w:t>20</w:t>
      </w:r>
      <w:r>
        <w:rPr>
          <w:rFonts w:hint="eastAsia" w:eastAsia="仿宋_GB2312"/>
          <w:color w:val="000000"/>
          <w:sz w:val="32"/>
          <w:szCs w:val="32"/>
          <w:lang w:val="en-US" w:eastAsia="zh-CN"/>
        </w:rPr>
        <w:t>21</w:t>
      </w:r>
      <w:r>
        <w:rPr>
          <w:rFonts w:hint="eastAsia" w:ascii="Times New Roman" w:hAnsi="Times New Roman" w:eastAsia="仿宋_GB2312"/>
          <w:color w:val="000000"/>
          <w:sz w:val="32"/>
          <w:szCs w:val="32"/>
        </w:rPr>
        <w:t>年度，我局将从以下几个方面着手，做好政府信息公开工作：</w:t>
      </w:r>
      <w:r>
        <w:rPr>
          <w:rFonts w:hint="eastAsia" w:ascii="Times New Roman" w:hAnsi="Times New Roman" w:eastAsia="仿宋_GB2312"/>
          <w:b/>
          <w:bCs/>
          <w:color w:val="000000"/>
          <w:sz w:val="32"/>
          <w:szCs w:val="32"/>
        </w:rPr>
        <w:t>一是</w:t>
      </w:r>
      <w:r>
        <w:rPr>
          <w:rFonts w:hint="eastAsia" w:ascii="Times New Roman" w:hAnsi="Times New Roman" w:eastAsia="仿宋_GB2312"/>
          <w:color w:val="000000"/>
          <w:sz w:val="32"/>
          <w:szCs w:val="32"/>
        </w:rPr>
        <w:t>强化学习培训工作，提高干部对《条例》的认知，提高干部对政府信息公开工作的重视程度，提升信息公开工作人员业务素质和服务水平，增强工作的主动性和实效性；</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加强学习贯彻《政府信息公开条例》、《中华人民共和国保守国家秘密法》及其实施办法等相关规定，严格依照法律法规对拟公开的政府信息进行保密审查。凡属国家秘密或者公开后可能危及国家安全、公共安全、经济安全和社会稳定的政府信息绝不公开；</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向群众广泛宣传政府信息公开网站，不断充实网上信息公开内容，尤其是完善涉及群众切身利益的公共服务事项信息，提高群众使用网络获取政府信息率。</w:t>
      </w:r>
      <w:r>
        <w:rPr>
          <w:rFonts w:hint="eastAsia" w:ascii="Times New Roman" w:hAnsi="Times New Roman" w:eastAsia="仿宋_GB2312"/>
          <w:b/>
          <w:bCs/>
          <w:color w:val="000000"/>
          <w:sz w:val="32"/>
          <w:szCs w:val="32"/>
        </w:rPr>
        <w:t>四是</w:t>
      </w:r>
      <w:r>
        <w:rPr>
          <w:rFonts w:hint="eastAsia" w:ascii="Times New Roman" w:hAnsi="Times New Roman" w:eastAsia="仿宋_GB2312"/>
          <w:color w:val="000000"/>
          <w:sz w:val="32"/>
          <w:szCs w:val="32"/>
        </w:rPr>
        <w:t>按照</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以公开为原则、不公开为例外</w:t>
      </w:r>
      <w:r>
        <w:rPr>
          <w:rFonts w:hint="eastAsia" w:eastAsia="仿宋_GB2312"/>
          <w:color w:val="000000"/>
          <w:sz w:val="32"/>
          <w:szCs w:val="32"/>
          <w:lang w:eastAsia="zh-CN"/>
        </w:rPr>
        <w:t>”</w:t>
      </w:r>
      <w:r>
        <w:rPr>
          <w:rFonts w:hint="eastAsia" w:ascii="Times New Roman" w:hAnsi="Times New Roman" w:eastAsia="仿宋_GB2312"/>
          <w:color w:val="000000"/>
          <w:sz w:val="32"/>
          <w:szCs w:val="32"/>
        </w:rPr>
        <w:t>的基本要求，认真梳理</w:t>
      </w:r>
      <w:r>
        <w:rPr>
          <w:rFonts w:hint="eastAsia" w:eastAsia="仿宋_GB2312"/>
          <w:color w:val="000000"/>
          <w:sz w:val="32"/>
          <w:szCs w:val="32"/>
          <w:lang w:eastAsia="zh-CN"/>
        </w:rPr>
        <w:t>我</w:t>
      </w:r>
      <w:r>
        <w:rPr>
          <w:rFonts w:hint="eastAsia" w:ascii="Times New Roman" w:hAnsi="Times New Roman" w:eastAsia="仿宋_GB2312"/>
          <w:color w:val="000000"/>
          <w:sz w:val="32"/>
          <w:szCs w:val="32"/>
        </w:rPr>
        <w:t>局政府信息，对相关材料指派专人负责收集整理和归类，确定应主动公开的政府信息和重点事项目录，更新和细化我局信息公开目录。</w:t>
      </w:r>
    </w:p>
    <w:p>
      <w:pPr>
        <w:pStyle w:val="11"/>
        <w:keepNext w:val="0"/>
        <w:keepLines w:val="0"/>
        <w:pageBreakBefore w:val="0"/>
        <w:widowControl w:val="0"/>
        <w:shd w:val="clear" w:color="auto" w:fill="auto"/>
        <w:tabs>
          <w:tab w:val="left" w:pos="1179"/>
        </w:tabs>
        <w:kinsoku/>
        <w:wordWrap/>
        <w:overflowPunct/>
        <w:topLinePunct w:val="0"/>
        <w:autoSpaceDE/>
        <w:autoSpaceDN/>
        <w:bidi w:val="0"/>
        <w:adjustRightInd/>
        <w:snapToGrid/>
        <w:spacing w:before="0" w:after="0" w:line="560" w:lineRule="exact"/>
        <w:ind w:left="0" w:right="0" w:firstLine="560"/>
        <w:jc w:val="left"/>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六</w:t>
      </w:r>
      <w:bookmarkEnd w:id="7"/>
      <w:r>
        <w:rPr>
          <w:rFonts w:hint="eastAsia" w:ascii="黑体" w:hAnsi="黑体" w:eastAsia="黑体" w:cs="黑体"/>
          <w:color w:val="000000" w:themeColor="text1"/>
          <w:spacing w:val="0"/>
          <w:w w:val="100"/>
          <w:position w:val="0"/>
          <w:sz w:val="32"/>
          <w:szCs w:val="32"/>
          <w14:textFill>
            <w14:solidFill>
              <w14:schemeClr w14:val="tx1"/>
            </w14:solidFill>
          </w14:textFill>
        </w:rPr>
        <w:t>、其他需要报告的事项</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Times New Roman" w:hAnsi="Times New Roman" w:eastAsia="仿宋_GB2312"/>
          <w:color w:val="000000"/>
          <w:sz w:val="32"/>
          <w:szCs w:val="32"/>
        </w:rPr>
        <w:t>无</w:t>
      </w:r>
      <w:r>
        <w:rPr>
          <w:rFonts w:hint="eastAsia"/>
          <w:sz w:val="32"/>
          <w:szCs w:val="32"/>
        </w:rPr>
        <w:t xml:space="preserve">    </w:t>
      </w:r>
    </w:p>
    <w:sectPr>
      <w:footerReference r:id="rId5" w:type="default"/>
      <w:footerReference r:id="rId6" w:type="even"/>
      <w:footnotePr>
        <w:numFmt w:val="decimal"/>
      </w:footnotePr>
      <w:type w:val="continuous"/>
      <w:pgSz w:w="11900" w:h="16840"/>
      <w:pgMar w:top="1417" w:right="1417" w:bottom="1417" w:left="1417"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5880100</wp:posOffset>
              </wp:positionH>
              <wp:positionV relativeFrom="page">
                <wp:posOffset>9607550</wp:posOffset>
              </wp:positionV>
              <wp:extent cx="149225"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wps:txbx>
                    <wps:bodyPr wrap="none" lIns="0" tIns="0" rIns="0" bIns="0">
                      <a:spAutoFit/>
                    </wps:bodyPr>
                  </wps:wsp>
                </a:graphicData>
              </a:graphic>
            </wp:anchor>
          </w:drawing>
        </mc:Choice>
        <mc:Fallback>
          <w:pict>
            <v:shape id="Shape 9" o:spid="_x0000_s1026" o:spt="202" type="#_x0000_t202" style="position:absolute;left:0pt;margin-left:463pt;margin-top:756.5pt;height:9.35pt;width:11.75pt;mso-position-horizontal-relative:page;mso-position-vertical-relative:page;mso-wrap-style:none;z-index:-440400896;mso-width-relative:page;mso-height-relative:page;" filled="f" stroked="f" coordsize="21600,21600" o:gfxdata="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JfbB7Z&#10;AAAADQEAAA8AAAAAAAAAAQAgAAAAIgAAAGRycy9kb3ducmV2LnhtbFBLAQIUABQAAAAIAIdO4kA9&#10;zZwzrQEAAG8DAAAOAAAAAAAAAAEAIAAAACgBAABkcnMvZTJvRG9jLnhtbFBLBQYAAAAABgAGAFkB&#10;AABH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1480185</wp:posOffset>
              </wp:positionH>
              <wp:positionV relativeFrom="page">
                <wp:posOffset>9561830</wp:posOffset>
              </wp:positionV>
              <wp:extent cx="15240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wps:txbx>
                    <wps:bodyPr wrap="none" lIns="0" tIns="0" rIns="0" bIns="0">
                      <a:spAutoFit/>
                    </wps:bodyPr>
                  </wps:wsp>
                </a:graphicData>
              </a:graphic>
            </wp:anchor>
          </w:drawing>
        </mc:Choice>
        <mc:Fallback>
          <w:pict>
            <v:shape id="Shape 11" o:spid="_x0000_s1026" o:spt="202" type="#_x0000_t202" style="position:absolute;left:0pt;margin-left:116.55pt;margin-top:752.9pt;height:9.35pt;width:12pt;mso-position-horizontal-relative:page;mso-position-vertical-relative:page;mso-wrap-style:none;z-index:-440400896;mso-width-relative:page;mso-height-relative:page;" filled="f" stroked="f" coordsize="21600,21600" o:gfxdata="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ZCB3zXAAAA&#10;DQEAAA8AAAAAAAAAAQAgAAAAIgAAAGRycy9kb3ducmV2LnhtbFBLAQIUABQAAAAIAIdO4kBjoblZ&#10;rAEAAHEDAAAOAAAAAAAAAAEAIAAAACYBAABkcnMvZTJvRG9jLnhtbFBLBQYAAAAABgAGAFkBAABE&#10;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rPr>
                        <w:rFonts w:hint="eastAsia" w:eastAsia="宋体"/>
                        <w:lang w:val="en-US" w:eastAsia="zh-CN"/>
                      </w:rPr>
                    </w:pPr>
                    <w:r>
                      <w:rPr>
                        <w:rFonts w:hint="eastAsia" w:eastAsia="宋体"/>
                        <w:lang w:val="en-US" w:eastAsia="zh-CN"/>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hint="eastAsia" w:eastAsia="宋体" w:cs="Times New Roman"/>
                        <w:color w:val="000000"/>
                        <w:spacing w:val="0"/>
                        <w:w w:val="100"/>
                        <w:position w:val="0"/>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36758C9"/>
    <w:rsid w:val="04D516B6"/>
    <w:rsid w:val="0DEF38CA"/>
    <w:rsid w:val="134029D6"/>
    <w:rsid w:val="25C82086"/>
    <w:rsid w:val="27110426"/>
    <w:rsid w:val="37494FBC"/>
    <w:rsid w:val="3E42520D"/>
    <w:rsid w:val="44DF0B3B"/>
    <w:rsid w:val="4733562E"/>
    <w:rsid w:val="48F3305E"/>
    <w:rsid w:val="5C5B09F8"/>
    <w:rsid w:val="60462CF1"/>
    <w:rsid w:val="6B905252"/>
    <w:rsid w:val="6FDB4D2D"/>
    <w:rsid w:val="7FB66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iCs/>
    </w:rPr>
  </w:style>
  <w:style w:type="character" w:customStyle="1" w:styleId="6">
    <w:name w:val="Heading #1|1_"/>
    <w:basedOn w:val="4"/>
    <w:link w:val="7"/>
    <w:qFormat/>
    <w:uiPriority w:val="0"/>
    <w:rPr>
      <w:rFonts w:ascii="宋体" w:hAnsi="宋体" w:eastAsia="宋体" w:cs="宋体"/>
      <w:color w:val="D0252E"/>
      <w:sz w:val="52"/>
      <w:szCs w:val="5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2220"/>
      <w:outlineLvl w:val="0"/>
    </w:pPr>
    <w:rPr>
      <w:rFonts w:ascii="宋体" w:hAnsi="宋体" w:eastAsia="宋体" w:cs="宋体"/>
      <w:color w:val="D0252E"/>
      <w:sz w:val="52"/>
      <w:szCs w:val="52"/>
      <w:u w:val="none"/>
      <w:shd w:val="clear" w:color="auto" w:fill="auto"/>
      <w:lang w:val="zh-TW" w:eastAsia="zh-TW" w:bidi="zh-TW"/>
    </w:rPr>
  </w:style>
  <w:style w:type="character" w:customStyle="1" w:styleId="8">
    <w:name w:val="Heading #3|1_"/>
    <w:basedOn w:val="4"/>
    <w:link w:val="9"/>
    <w:qFormat/>
    <w:uiPriority w:val="0"/>
    <w:rPr>
      <w:rFonts w:ascii="宋体" w:hAnsi="宋体" w:eastAsia="宋体" w:cs="宋体"/>
      <w:sz w:val="40"/>
      <w:szCs w:val="40"/>
      <w:u w:val="none"/>
      <w:shd w:val="clear" w:color="auto" w:fill="auto"/>
      <w:lang w:val="zh-TW" w:eastAsia="zh-TW" w:bidi="zh-TW"/>
    </w:rPr>
  </w:style>
  <w:style w:type="paragraph" w:customStyle="1" w:styleId="9">
    <w:name w:val="Heading #3|1"/>
    <w:basedOn w:val="1"/>
    <w:link w:val="8"/>
    <w:qFormat/>
    <w:uiPriority w:val="0"/>
    <w:pPr>
      <w:widowControl w:val="0"/>
      <w:shd w:val="clear" w:color="auto" w:fill="auto"/>
      <w:spacing w:after="310" w:line="314" w:lineRule="auto"/>
      <w:jc w:val="center"/>
      <w:outlineLvl w:val="2"/>
    </w:pPr>
    <w:rPr>
      <w:rFonts w:ascii="宋体" w:hAnsi="宋体" w:eastAsia="宋体" w:cs="宋体"/>
      <w:sz w:val="40"/>
      <w:szCs w:val="40"/>
      <w:u w:val="none"/>
      <w:shd w:val="clear" w:color="auto" w:fill="auto"/>
      <w:lang w:val="zh-TW" w:eastAsia="zh-TW" w:bidi="zh-TW"/>
    </w:rPr>
  </w:style>
  <w:style w:type="character" w:customStyle="1" w:styleId="10">
    <w:name w:val="Body text|1_"/>
    <w:basedOn w:val="4"/>
    <w:link w:val="11"/>
    <w:qFormat/>
    <w:uiPriority w:val="0"/>
    <w:rPr>
      <w:rFonts w:ascii="宋体" w:hAnsi="宋体" w:eastAsia="宋体" w:cs="宋体"/>
      <w:sz w:val="26"/>
      <w:szCs w:val="26"/>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68" w:lineRule="auto"/>
      <w:ind w:firstLine="400"/>
    </w:pPr>
    <w:rPr>
      <w:rFonts w:ascii="宋体" w:hAnsi="宋体" w:eastAsia="宋体" w:cs="宋体"/>
      <w:sz w:val="26"/>
      <w:szCs w:val="26"/>
      <w:u w:val="none"/>
      <w:shd w:val="clear" w:color="auto" w:fill="auto"/>
      <w:lang w:val="zh-TW" w:eastAsia="zh-TW" w:bidi="zh-TW"/>
    </w:rPr>
  </w:style>
  <w:style w:type="character" w:customStyle="1" w:styleId="12">
    <w:name w:val="Header or footer|2_"/>
    <w:basedOn w:val="4"/>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Body text|2_"/>
    <w:basedOn w:val="4"/>
    <w:link w:val="15"/>
    <w:qFormat/>
    <w:uiPriority w:val="0"/>
    <w:rPr>
      <w:rFonts w:ascii="宋体" w:hAnsi="宋体" w:eastAsia="宋体" w:cs="宋体"/>
      <w:sz w:val="30"/>
      <w:szCs w:val="30"/>
      <w:u w:val="none"/>
      <w:shd w:val="clear" w:color="auto" w:fill="auto"/>
    </w:rPr>
  </w:style>
  <w:style w:type="paragraph" w:customStyle="1" w:styleId="15">
    <w:name w:val="Body text|2"/>
    <w:basedOn w:val="1"/>
    <w:link w:val="14"/>
    <w:qFormat/>
    <w:uiPriority w:val="0"/>
    <w:pPr>
      <w:widowControl w:val="0"/>
      <w:shd w:val="clear" w:color="auto" w:fill="auto"/>
      <w:spacing w:after="240"/>
      <w:ind w:left="1110" w:firstLine="330"/>
    </w:pPr>
    <w:rPr>
      <w:rFonts w:ascii="宋体" w:hAnsi="宋体" w:eastAsia="宋体" w:cs="宋体"/>
      <w:sz w:val="30"/>
      <w:szCs w:val="30"/>
      <w:u w:val="none"/>
      <w:shd w:val="clear" w:color="auto" w:fill="auto"/>
    </w:rPr>
  </w:style>
  <w:style w:type="character" w:customStyle="1" w:styleId="16">
    <w:name w:val="Picture caption|1_"/>
    <w:basedOn w:val="4"/>
    <w:link w:val="17"/>
    <w:qFormat/>
    <w:uiPriority w:val="0"/>
    <w:rPr>
      <w:rFonts w:ascii="宋体" w:hAnsi="宋体" w:eastAsia="宋体" w:cs="宋体"/>
      <w:sz w:val="26"/>
      <w:szCs w:val="26"/>
      <w:u w:val="none"/>
      <w:shd w:val="clear" w:color="auto" w:fill="auto"/>
      <w:lang w:val="zh-TW" w:eastAsia="zh-TW" w:bidi="zh-TW"/>
    </w:rPr>
  </w:style>
  <w:style w:type="paragraph" w:customStyle="1" w:styleId="17">
    <w:name w:val="Picture caption|1"/>
    <w:basedOn w:val="1"/>
    <w:link w:val="16"/>
    <w:qFormat/>
    <w:uiPriority w:val="0"/>
    <w:pPr>
      <w:widowControl w:val="0"/>
      <w:shd w:val="clear" w:color="auto" w:fill="auto"/>
      <w:jc w:val="right"/>
    </w:pPr>
    <w:rPr>
      <w:rFonts w:ascii="宋体" w:hAnsi="宋体" w:eastAsia="宋体" w:cs="宋体"/>
      <w:sz w:val="26"/>
      <w:szCs w:val="26"/>
      <w:u w:val="none"/>
      <w:shd w:val="clear" w:color="auto" w:fill="auto"/>
      <w:lang w:val="zh-TW" w:eastAsia="zh-TW" w:bidi="zh-TW"/>
    </w:rPr>
  </w:style>
  <w:style w:type="character" w:customStyle="1" w:styleId="18">
    <w:name w:val="Heading #2|1_"/>
    <w:basedOn w:val="4"/>
    <w:link w:val="19"/>
    <w:qFormat/>
    <w:uiPriority w:val="0"/>
    <w:rPr>
      <w:rFonts w:ascii="宋体" w:hAnsi="宋体" w:eastAsia="宋体" w:cs="宋体"/>
      <w:sz w:val="42"/>
      <w:szCs w:val="42"/>
      <w:u w:val="none"/>
      <w:shd w:val="clear" w:color="auto" w:fill="auto"/>
      <w:lang w:val="zh-TW" w:eastAsia="zh-TW" w:bidi="zh-TW"/>
    </w:rPr>
  </w:style>
  <w:style w:type="paragraph" w:customStyle="1" w:styleId="19">
    <w:name w:val="Heading #2|1"/>
    <w:basedOn w:val="1"/>
    <w:link w:val="18"/>
    <w:qFormat/>
    <w:uiPriority w:val="0"/>
    <w:pPr>
      <w:widowControl w:val="0"/>
      <w:shd w:val="clear" w:color="auto" w:fill="auto"/>
      <w:spacing w:after="680"/>
      <w:ind w:left="1240"/>
      <w:outlineLvl w:val="1"/>
    </w:pPr>
    <w:rPr>
      <w:rFonts w:ascii="宋体" w:hAnsi="宋体" w:eastAsia="宋体" w:cs="宋体"/>
      <w:sz w:val="42"/>
      <w:szCs w:val="42"/>
      <w:u w:val="none"/>
      <w:shd w:val="clear" w:color="auto" w:fill="auto"/>
      <w:lang w:val="zh-TW" w:eastAsia="zh-TW" w:bidi="zh-TW"/>
    </w:rPr>
  </w:style>
  <w:style w:type="character" w:customStyle="1" w:styleId="20">
    <w:name w:val="Body text|3_"/>
    <w:basedOn w:val="4"/>
    <w:link w:val="21"/>
    <w:qFormat/>
    <w:uiPriority w:val="0"/>
    <w:rPr>
      <w:rFonts w:ascii="宋体" w:hAnsi="宋体" w:eastAsia="宋体" w:cs="宋体"/>
      <w:sz w:val="34"/>
      <w:szCs w:val="34"/>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spacing w:after="320" w:line="631" w:lineRule="exact"/>
      <w:jc w:val="center"/>
    </w:pPr>
    <w:rPr>
      <w:rFonts w:ascii="宋体" w:hAnsi="宋体" w:eastAsia="宋体" w:cs="宋体"/>
      <w:sz w:val="34"/>
      <w:szCs w:val="34"/>
      <w:u w:val="none"/>
      <w:shd w:val="clear" w:color="auto" w:fill="auto"/>
      <w:lang w:val="zh-TW" w:eastAsia="zh-TW" w:bidi="zh-TW"/>
    </w:rPr>
  </w:style>
  <w:style w:type="character" w:customStyle="1" w:styleId="22">
    <w:name w:val="Header or footer|1_"/>
    <w:basedOn w:val="4"/>
    <w:link w:val="23"/>
    <w:qFormat/>
    <w:uiPriority w:val="0"/>
    <w:rPr>
      <w:sz w:val="26"/>
      <w:szCs w:val="26"/>
      <w:u w:val="none"/>
      <w:shd w:val="clear" w:color="auto" w:fill="auto"/>
      <w:lang w:val="zh-TW" w:eastAsia="zh-TW" w:bidi="zh-TW"/>
    </w:rPr>
  </w:style>
  <w:style w:type="paragraph" w:customStyle="1" w:styleId="23">
    <w:name w:val="Header or footer|1"/>
    <w:basedOn w:val="1"/>
    <w:link w:val="22"/>
    <w:qFormat/>
    <w:uiPriority w:val="0"/>
    <w:pPr>
      <w:widowControl w:val="0"/>
      <w:shd w:val="clear" w:color="auto" w:fill="auto"/>
    </w:pPr>
    <w:rPr>
      <w:sz w:val="26"/>
      <w:szCs w:val="26"/>
      <w:u w:val="none"/>
      <w:shd w:val="clear" w:color="auto" w:fill="auto"/>
      <w:lang w:val="zh-TW" w:eastAsia="zh-TW" w:bidi="zh-TW"/>
    </w:rPr>
  </w:style>
  <w:style w:type="character" w:customStyle="1" w:styleId="24">
    <w:name w:val="Other|1_"/>
    <w:basedOn w:val="4"/>
    <w:link w:val="25"/>
    <w:qFormat/>
    <w:uiPriority w:val="0"/>
    <w:rPr>
      <w:rFonts w:ascii="宋体" w:hAnsi="宋体" w:eastAsia="宋体" w:cs="宋体"/>
      <w:sz w:val="26"/>
      <w:szCs w:val="26"/>
      <w:u w:val="none"/>
      <w:shd w:val="clear" w:color="auto" w:fill="auto"/>
      <w:lang w:val="zh-TW" w:eastAsia="zh-TW" w:bidi="zh-TW"/>
    </w:rPr>
  </w:style>
  <w:style w:type="paragraph" w:customStyle="1" w:styleId="25">
    <w:name w:val="Other|1"/>
    <w:basedOn w:val="1"/>
    <w:link w:val="24"/>
    <w:qFormat/>
    <w:uiPriority w:val="0"/>
    <w:pPr>
      <w:widowControl w:val="0"/>
      <w:shd w:val="clear" w:color="auto" w:fill="auto"/>
      <w:spacing w:line="468" w:lineRule="auto"/>
      <w:ind w:firstLine="400"/>
    </w:pPr>
    <w:rPr>
      <w:rFonts w:ascii="宋体" w:hAnsi="宋体" w:eastAsia="宋体" w:cs="宋体"/>
      <w:sz w:val="26"/>
      <w:szCs w:val="26"/>
      <w:u w:val="none"/>
      <w:shd w:val="clear" w:color="auto" w:fill="auto"/>
      <w:lang w:val="zh-TW" w:eastAsia="zh-TW" w:bidi="zh-TW"/>
    </w:rPr>
  </w:style>
  <w:style w:type="character" w:customStyle="1" w:styleId="26">
    <w:name w:val="Other|2_"/>
    <w:basedOn w:val="4"/>
    <w:link w:val="27"/>
    <w:qFormat/>
    <w:uiPriority w:val="0"/>
    <w:rPr>
      <w:rFonts w:ascii="宋体" w:hAnsi="宋体" w:eastAsia="宋体" w:cs="宋体"/>
      <w:sz w:val="20"/>
      <w:szCs w:val="20"/>
      <w:u w:val="none"/>
      <w:shd w:val="clear" w:color="auto" w:fill="auto"/>
      <w:lang w:val="zh-TW" w:eastAsia="zh-TW" w:bidi="zh-TW"/>
    </w:rPr>
  </w:style>
  <w:style w:type="paragraph" w:customStyle="1" w:styleId="27">
    <w:name w:val="Other|2"/>
    <w:basedOn w:val="1"/>
    <w:link w:val="26"/>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45</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2020-01-15T01:12:00Z</dcterms:created>
  <dc:creator>Administrator</dc:creator>
  <cp:lastModifiedBy>张亮</cp:lastModifiedBy>
  <cp:lastPrinted>2021-01-12T03:50:46Z</cp:lastPrinted>
  <dcterms:modified xsi:type="dcterms:W3CDTF">2021-01-12T03:51:43Z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