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仿宋_GB2312" w:cs="方正小标宋简体"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tbl>
      <w:tblPr>
        <w:tblStyle w:val="2"/>
        <w:tblpPr w:leftFromText="180" w:rightFromText="180" w:vertAnchor="page" w:horzAnchor="margin" w:tblpY="28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90"/>
        <w:gridCol w:w="1380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eastAsia="黑体"/>
                <w:color w:val="000000"/>
                <w:sz w:val="28"/>
                <w:szCs w:val="28"/>
              </w:rPr>
              <w:t>儿童口腔综合干预（窝沟封闭）工作经费预算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支出科目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预算金额（万元）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窝沟封闭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3.6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1800颗牙，20元/颗牙。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口腔健康检查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0.64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1600人，4元/人。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0.15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参加省级启动会,差旅费的开支标准应当按照国家有关规定执行项目差旅费预算0.1万元。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督导费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省级每年督导1-2次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印刷费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0.8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印制宣传材料、知情同意书、结果通知书、家长反馈表、登记表、制作横幅。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交通费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项目实施过程中，需动用单位车辆进行现场调查，车辆维修、燃油等按200元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天计，预计划10天左右，共计需10×2</w:t>
            </w:r>
            <w:r>
              <w:rPr>
                <w:rFonts w:ascii="宋体" w:hAnsi="宋体"/>
                <w:sz w:val="24"/>
              </w:rPr>
              <w:t>00=</w:t>
            </w:r>
            <w:r>
              <w:rPr>
                <w:rFonts w:hint="eastAsia" w:ascii="宋体" w:hAnsi="宋体"/>
                <w:sz w:val="24"/>
              </w:rPr>
              <w:t>0.20万元。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数据录入费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0.38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按要求收集、汇总所有项目的工作信息，完成数据录入，及时上报信息，5元/份。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健康教育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0.23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购买健康促进品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E6C08"/>
    <w:rsid w:val="7CF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2021-04-22T01:44:00Z</dcterms:created>
  <dc:creator>Administrator</dc:creator>
  <cp:lastModifiedBy>Administrator</cp:lastModifiedBy>
  <dcterms:modified xsi:type="dcterms:W3CDTF">2021-04-22T01:45:28Z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F6CB51AF4B4446BBADA1010B45D44E16</vt:lpwstr>
  </property>
</Properties>
</file>