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白银区2021-2025年65岁及以上老年人等重点人群结核病筛查工作实施方案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为进一步深化医药卫生改革，推进基本公共卫生服务，提升民生保障水平。通过加强重点人群中结核病患者发现，开展规范化治疗管理，有效减少结核病传播。计划对我区65岁以上老年人等重点人群开展结核病筛查，以掌握老年人健康状况，实施老年人健康管理，做到无病早预防，有病早发现、早诊断、早治疗，提供健康生活，改善生活质量，特制定如下方案。</w:t>
      </w: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一、健全组织成立工作小组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区卫生健康局成立65岁及以上老年人等重点人群结核病筛查工作小组（工作小组后附），制定筛查方案，</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人员培训，明确工作任务和要求，</w:t>
      </w:r>
      <w:r>
        <w:rPr>
          <w:rFonts w:hint="default" w:ascii="Times New Roman" w:hAnsi="Times New Roman" w:eastAsia="仿宋_GB2312" w:cs="Times New Roman"/>
          <w:sz w:val="32"/>
          <w:szCs w:val="32"/>
          <w:lang w:eastAsia="zh-CN"/>
        </w:rPr>
        <w:t>确保工作任务完成。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二、工作目标和指标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1、目标人群：辖区内65岁及以上老年人、糖尿病患者等重点人群。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标：体检率达85%以上，并建立规范化电子监控档案，于每年11月底前完成年度工作任务。筛查出的结核病患者纳入相应的规范管理，管理率达100%；患者成功治疗率达到90%以上；公众结核病防治知识知晓率达85%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根据&lt;&lt;国家基本公共卫生服务规范（第三版）&gt;&gt;关于65岁以上老年人健康管理的相关要求将结核病纳入基本公共卫生服务项目的精神，按照以下具体内容进行体检：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生活方式和健康状况评估。通过问诊及老年人健康状况自评，了解其基本健康状况、体育锻炼、饮食、吸烟、饮酒、慢性疾病常见症状、既往所患疾病、治疗及目前用药和生活自理能力等情况。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体格检查。包括体温、脉搏、呼吸、血压、身高、体重、胸围、皮肤、浅表淋巴结、心脏、腹部等常规体格检查，并对口腔、视力、听力和运动功能等进行粗判断。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结核病筛查。全市范围内对65岁及以上的老年人、糖尿病患者等重点人群进行结核病筛查，为每名前来筛查的重点人员拍摄胸片或结核菌素（TB_PPD）检测；检查结果异常的转诊到县区结核病定点医院进行确诊和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管理及健康指导。及时告知健康体检结果并进行相应健康指导，将筛查出的结核病患者纳入相应的规范管理。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val="0"/>
          <w:bCs w:val="0"/>
          <w:sz w:val="32"/>
          <w:szCs w:val="32"/>
        </w:rPr>
        <w:t>四、工作步骤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宣传动员：充分利用宣传栏、板报、横幅、告知居民一封信等多种形式，营造浓厚的宣传氛围。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登记：做好动员工作，对辖区内65岁及以上老年人等重点人群进行登记造册，填写基本信息栏目及相关内容，完成体检前期准备工作。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筛查：各单位核对老年人及重点人群身份后，按项目要求实施筛查工作。结合老年人健康体检结果，建立或更新65岁及以上老年人的健康档案（辅助检查报告单均要贴在体检表上），健康档案统一用碳素笔填写，要求字迹工整、内容完整、无空格、不乱勾乱涂、书面整洁清晰，要统一编号，并及时录入电子档案系统，实现信息化管理。根据体检结果进行跟踪随访和观察治疗，将各项跟踪随访及观察治疗记录及时归入个人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综合干预：各单位要及时将65岁及以上老年人等重点人群筛查异常人员，推荐到定点医院门诊就诊，对确诊患者做好管理，落实干预措施。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五、具体工作要求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区疾控中心于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5月2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日前完成辖区结核病筛查工作的技术指导、培训</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各基层医疗机构于5月30日前完成</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lang w:val="en-US" w:eastAsia="zh-CN"/>
        </w:rPr>
        <w:t>65岁以上老年人登记造册，做好</w:t>
      </w:r>
      <w:r>
        <w:rPr>
          <w:rFonts w:hint="default" w:ascii="Times New Roman" w:hAnsi="Times New Roman" w:eastAsia="仿宋_GB2312" w:cs="Times New Roman"/>
          <w:sz w:val="32"/>
          <w:szCs w:val="32"/>
        </w:rPr>
        <w:t>筛查</w:t>
      </w:r>
      <w:r>
        <w:rPr>
          <w:rFonts w:hint="default" w:ascii="Times New Roman" w:hAnsi="Times New Roman" w:eastAsia="仿宋_GB2312" w:cs="Times New Roman"/>
          <w:sz w:val="32"/>
          <w:szCs w:val="32"/>
          <w:lang w:eastAsia="zh-CN"/>
        </w:rPr>
        <w:t>准备。</w:t>
      </w:r>
      <w:r>
        <w:rPr>
          <w:rFonts w:hint="default" w:ascii="Times New Roman" w:hAnsi="Times New Roman" w:eastAsia="仿宋_GB2312" w:cs="Times New Roman"/>
          <w:sz w:val="32"/>
          <w:szCs w:val="32"/>
          <w:lang w:val="en-US" w:eastAsia="zh-CN"/>
        </w:rPr>
        <w:t>11月前完成筛查。</w:t>
      </w:r>
      <w:r>
        <w:rPr>
          <w:rFonts w:hint="default" w:ascii="Times New Roman" w:hAnsi="Times New Roman" w:eastAsia="仿宋_GB2312" w:cs="Times New Roman"/>
          <w:sz w:val="32"/>
          <w:szCs w:val="32"/>
        </w:rPr>
        <w:t>将筛查人数、PPD阳性及胸片异常人数、疑似肺结核病人名单等进行汇总上报区疾控中心。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各基层医疗机构以基本公共卫生服务65岁及以上老年人免费健康体检为依托，成立相应组织机构，加强组织领导，召开工作动员会，制定具体实施方案，精心推进实施。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医疗卫生机构合理安排工作进度，科学安排体检流程，加强体检质量控制，对发现胸片或结核菌素（PPD）异常及时转至辖区结核病定点医院进一步诊断，并跟踪了解诊断结果。对健康体检结果录入电子健康档案，确保体检工作保质保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筛查所需</w:t>
      </w:r>
      <w:r>
        <w:rPr>
          <w:rFonts w:hint="default" w:ascii="Times New Roman" w:hAnsi="Times New Roman" w:eastAsia="仿宋_GB2312" w:cs="Times New Roman"/>
          <w:sz w:val="32"/>
          <w:szCs w:val="32"/>
        </w:rPr>
        <w:t>TB_PPD</w:t>
      </w:r>
      <w:r>
        <w:rPr>
          <w:rFonts w:hint="default" w:ascii="Times New Roman" w:hAnsi="Times New Roman" w:eastAsia="仿宋_GB2312" w:cs="Times New Roman"/>
          <w:sz w:val="32"/>
          <w:szCs w:val="32"/>
          <w:lang w:eastAsia="zh-CN"/>
        </w:rPr>
        <w:t>，由各</w:t>
      </w:r>
      <w:r>
        <w:rPr>
          <w:rFonts w:hint="default" w:ascii="Times New Roman" w:hAnsi="Times New Roman" w:eastAsia="仿宋_GB2312" w:cs="Times New Roman"/>
          <w:sz w:val="32"/>
          <w:szCs w:val="32"/>
        </w:rPr>
        <w:t>基层医疗卫生机构</w:t>
      </w:r>
      <w:r>
        <w:rPr>
          <w:rFonts w:hint="default" w:ascii="Times New Roman" w:hAnsi="Times New Roman" w:eastAsia="仿宋_GB2312" w:cs="Times New Roman"/>
          <w:sz w:val="32"/>
          <w:szCs w:val="32"/>
          <w:lang w:eastAsia="zh-CN"/>
        </w:rPr>
        <w:t>从区医保局药品带量采购平台按需采购。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自2022年开始至2025年，</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基层医疗卫生机构</w:t>
      </w:r>
      <w:r>
        <w:rPr>
          <w:rFonts w:hint="default" w:ascii="Times New Roman" w:hAnsi="Times New Roman" w:eastAsia="仿宋_GB2312" w:cs="Times New Roman"/>
          <w:sz w:val="32"/>
          <w:szCs w:val="32"/>
          <w:lang w:eastAsia="zh-CN"/>
        </w:rPr>
        <w:t>应将</w:t>
      </w:r>
      <w:r>
        <w:rPr>
          <w:rFonts w:hint="default" w:ascii="Times New Roman" w:hAnsi="Times New Roman" w:eastAsia="仿宋_GB2312" w:cs="Times New Roman"/>
          <w:sz w:val="32"/>
          <w:szCs w:val="32"/>
          <w:lang w:val="en-US" w:eastAsia="zh-CN"/>
        </w:rPr>
        <w:t>65岁</w:t>
      </w:r>
      <w:r>
        <w:rPr>
          <w:rFonts w:hint="default" w:ascii="Times New Roman" w:hAnsi="Times New Roman" w:eastAsia="仿宋_GB2312" w:cs="Times New Roman"/>
          <w:sz w:val="32"/>
          <w:szCs w:val="32"/>
        </w:rPr>
        <w:t>及以上老年人等重点人群</w:t>
      </w:r>
      <w:r>
        <w:rPr>
          <w:rFonts w:hint="default" w:ascii="Times New Roman" w:hAnsi="Times New Roman" w:eastAsia="仿宋_GB2312" w:cs="Times New Roman"/>
          <w:sz w:val="32"/>
          <w:szCs w:val="32"/>
          <w:lang w:eastAsia="zh-CN"/>
        </w:rPr>
        <w:t>结核病筛查纳入年度工作计划，及早筹备，抓好落实，每年</w:t>
      </w:r>
      <w:r>
        <w:rPr>
          <w:rFonts w:hint="default" w:ascii="Times New Roman" w:hAnsi="Times New Roman" w:eastAsia="仿宋_GB2312" w:cs="Times New Roman"/>
          <w:sz w:val="32"/>
          <w:szCs w:val="32"/>
          <w:lang w:val="en-US" w:eastAsia="zh-CN"/>
        </w:rPr>
        <w:t>11月底前完成筛查及数据上报工作。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w:t>
      </w:r>
      <w:r>
        <w:rPr>
          <w:rFonts w:hint="default" w:ascii="Times New Roman" w:hAnsi="Times New Roman" w:eastAsia="黑体" w:cs="Times New Roman"/>
          <w:b w:val="0"/>
          <w:bCs w:val="0"/>
          <w:sz w:val="32"/>
          <w:szCs w:val="32"/>
          <w:lang w:eastAsia="zh-CN"/>
        </w:rPr>
        <w:t>经费</w:t>
      </w:r>
      <w:r>
        <w:rPr>
          <w:rFonts w:hint="default" w:ascii="Times New Roman" w:hAnsi="Times New Roman" w:eastAsia="黑体" w:cs="Times New Roman"/>
          <w:b w:val="0"/>
          <w:bCs w:val="0"/>
          <w:sz w:val="32"/>
          <w:szCs w:val="32"/>
        </w:rPr>
        <w:t>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start="2"/>
          <w:cols w:space="720" w:num="1"/>
          <w:docGrid w:type="lines" w:linePitch="312" w:charSpace="0"/>
        </w:sectPr>
      </w:pPr>
      <w:r>
        <w:rPr>
          <w:rFonts w:hint="default" w:ascii="Times New Roman" w:hAnsi="Times New Roman" w:eastAsia="仿宋_GB2312" w:cs="Times New Roman"/>
          <w:sz w:val="32"/>
          <w:szCs w:val="32"/>
        </w:rPr>
        <w:t>筛查工作经费在基本公共卫生项目资金中统一列支。区卫生健康局将65岁以上老年人</w:t>
      </w:r>
      <w:r>
        <w:rPr>
          <w:rFonts w:hint="default" w:ascii="Times New Roman" w:hAnsi="Times New Roman" w:eastAsia="仿宋_GB2312" w:cs="Times New Roman"/>
          <w:sz w:val="32"/>
          <w:szCs w:val="32"/>
          <w:lang w:eastAsia="zh-CN"/>
        </w:rPr>
        <w:t>结核病筛查</w:t>
      </w:r>
      <w:r>
        <w:rPr>
          <w:rFonts w:hint="default" w:ascii="Times New Roman" w:hAnsi="Times New Roman" w:eastAsia="仿宋_GB2312" w:cs="Times New Roman"/>
          <w:sz w:val="32"/>
          <w:szCs w:val="32"/>
        </w:rPr>
        <w:t>纳入基本公共卫生考核，采取季度督导、年度进行考核，对工作不认真、任务没有完成、体检质量差的单位，扣减相应的服务经费，并通报批评。</w:t>
      </w: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65岁以上老年人健康体检结核病筛查登记表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1298"/>
        <w:gridCol w:w="747"/>
        <w:gridCol w:w="1432"/>
        <w:gridCol w:w="2039"/>
        <w:gridCol w:w="1650"/>
        <w:gridCol w:w="2090"/>
        <w:gridCol w:w="131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编号</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姓名</w:t>
            </w: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年龄</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联系电话</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住址</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结核病相关症状1无2有</w:t>
            </w:r>
          </w:p>
        </w:tc>
        <w:tc>
          <w:tcPr>
            <w:tcW w:w="2090" w:type="dxa"/>
            <w:noWrap w:val="0"/>
            <w:vAlign w:val="center"/>
          </w:tcPr>
          <w:p>
            <w:pPr>
              <w:keepNext w:val="0"/>
              <w:keepLines w:val="0"/>
              <w:pageBreakBefore w:val="0"/>
              <w:widowControl w:val="0"/>
              <w:kinsoku/>
              <w:wordWrap/>
              <w:overflowPunct/>
              <w:topLinePunct/>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筛查方式1</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胸片2</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PPD检测</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筛查</w:t>
            </w:r>
            <w:r>
              <w:rPr>
                <w:rFonts w:hint="default" w:ascii="Times New Roman" w:hAnsi="Times New Roman" w:eastAsia="仿宋_GB2312" w:cs="Times New Roman"/>
                <w:color w:val="000000"/>
                <w:kern w:val="0"/>
                <w:sz w:val="28"/>
                <w:szCs w:val="28"/>
                <w:lang w:bidi="ar"/>
              </w:rPr>
              <w:t>时间</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bottom"/>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1</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2</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3</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4</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5</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6</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7</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7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20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000000"/>
                <w:sz w:val="32"/>
                <w:szCs w:val="32"/>
              </w:rPr>
            </w:pPr>
          </w:p>
        </w:tc>
      </w:tr>
    </w:tbl>
    <w:p>
      <w:pPr>
        <w:rPr>
          <w:rFonts w:hint="default" w:ascii="Times New Roman" w:hAnsi="Times New Roman" w:eastAsia="仿宋_GB2312" w:cs="Times New Roman"/>
          <w:vanish/>
          <w:sz w:val="32"/>
          <w:szCs w:val="32"/>
        </w:rPr>
      </w:pPr>
    </w:p>
    <w:tbl>
      <w:tblPr>
        <w:tblStyle w:val="4"/>
        <w:tblpPr w:leftFromText="180" w:rightFromText="180" w:vertAnchor="text" w:horzAnchor="page" w:tblpX="1475" w:tblpY="-150"/>
        <w:tblOverlap w:val="never"/>
        <w:tblW w:w="0" w:type="auto"/>
        <w:tblInd w:w="0" w:type="dxa"/>
        <w:tblLayout w:type="fixed"/>
        <w:tblCellMar>
          <w:top w:w="15" w:type="dxa"/>
          <w:left w:w="15" w:type="dxa"/>
          <w:bottom w:w="15" w:type="dxa"/>
          <w:right w:w="15" w:type="dxa"/>
        </w:tblCellMar>
      </w:tblPr>
      <w:tblGrid>
        <w:gridCol w:w="1964"/>
        <w:gridCol w:w="1585"/>
        <w:gridCol w:w="1882"/>
        <w:gridCol w:w="1050"/>
        <w:gridCol w:w="1405"/>
        <w:gridCol w:w="1241"/>
        <w:gridCol w:w="1868"/>
        <w:gridCol w:w="1541"/>
        <w:gridCol w:w="1391"/>
      </w:tblGrid>
      <w:tr>
        <w:tblPrEx>
          <w:tblCellMar>
            <w:top w:w="15" w:type="dxa"/>
            <w:left w:w="15" w:type="dxa"/>
            <w:bottom w:w="15" w:type="dxa"/>
            <w:right w:w="15" w:type="dxa"/>
          </w:tblCellMar>
        </w:tblPrEx>
        <w:trPr>
          <w:trHeight w:val="405" w:hRule="atLeast"/>
        </w:trPr>
        <w:tc>
          <w:tcPr>
            <w:tcW w:w="13927" w:type="dxa"/>
            <w:gridSpan w:val="9"/>
            <w:noWrap w:val="0"/>
            <w:vAlign w:val="center"/>
          </w:tcPr>
          <w:p>
            <w:pPr>
              <w:widowControl/>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kern w:val="0"/>
                <w:sz w:val="44"/>
                <w:szCs w:val="44"/>
                <w:lang w:bidi="ar"/>
              </w:rPr>
              <w:t>65岁以上老年人群等重点人群结核病筛查活动汇总表（乡级）</w:t>
            </w:r>
          </w:p>
        </w:tc>
      </w:tr>
      <w:tr>
        <w:tblPrEx>
          <w:tblCellMar>
            <w:top w:w="15" w:type="dxa"/>
            <w:left w:w="15" w:type="dxa"/>
            <w:bottom w:w="15" w:type="dxa"/>
            <w:right w:w="15" w:type="dxa"/>
          </w:tblCellMar>
        </w:tblPrEx>
        <w:trPr>
          <w:trHeight w:val="735" w:hRule="atLeast"/>
        </w:trPr>
        <w:tc>
          <w:tcPr>
            <w:tcW w:w="13927" w:type="dxa"/>
            <w:gridSpan w:val="9"/>
            <w:tcBorders>
              <w:bottom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单位：</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 xml:space="preserve">    </w:t>
            </w:r>
          </w:p>
        </w:tc>
      </w:tr>
      <w:tr>
        <w:tblPrEx>
          <w:tblCellMar>
            <w:top w:w="15" w:type="dxa"/>
            <w:left w:w="15" w:type="dxa"/>
            <w:bottom w:w="15" w:type="dxa"/>
            <w:right w:w="15" w:type="dxa"/>
          </w:tblCellMar>
        </w:tblPrEx>
        <w:trPr>
          <w:trHeight w:val="558" w:hRule="atLeast"/>
        </w:trPr>
        <w:tc>
          <w:tcPr>
            <w:tcW w:w="19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村名</w:t>
            </w:r>
          </w:p>
        </w:tc>
        <w:tc>
          <w:tcPr>
            <w:tcW w:w="15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筛查人数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p>
        </w:tc>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有可疑肺结核症状人数</w:t>
            </w:r>
          </w:p>
        </w:tc>
        <w:tc>
          <w:tcPr>
            <w:tcW w:w="3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PPD筛查结果（mm）</w:t>
            </w:r>
          </w:p>
        </w:tc>
        <w:tc>
          <w:tcPr>
            <w:tcW w:w="34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胸片及痰检</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8"/>
                <w:szCs w:val="28"/>
              </w:rPr>
            </w:pPr>
          </w:p>
        </w:tc>
      </w:tr>
      <w:tr>
        <w:tblPrEx>
          <w:tblCellMar>
            <w:top w:w="15" w:type="dxa"/>
            <w:left w:w="15" w:type="dxa"/>
            <w:bottom w:w="15" w:type="dxa"/>
            <w:right w:w="15" w:type="dxa"/>
          </w:tblCellMar>
        </w:tblPrEx>
        <w:trPr>
          <w:trHeight w:val="596" w:hRule="atLeast"/>
        </w:trPr>
        <w:tc>
          <w:tcPr>
            <w:tcW w:w="19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8"/>
                <w:szCs w:val="28"/>
              </w:rPr>
            </w:pPr>
          </w:p>
        </w:tc>
        <w:tc>
          <w:tcPr>
            <w:tcW w:w="15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p>
        </w:tc>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&lt;5</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5—15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&gt;15</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胸片异常人数</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痰检人数</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备注</w:t>
            </w: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r>
        <w:tblPrEx>
          <w:tblCellMar>
            <w:top w:w="15" w:type="dxa"/>
            <w:left w:w="15" w:type="dxa"/>
            <w:bottom w:w="15" w:type="dxa"/>
            <w:right w:w="15" w:type="dxa"/>
          </w:tblCellMar>
        </w:tblPrEx>
        <w:trPr>
          <w:trHeight w:val="265" w:hRule="atLeast"/>
        </w:trPr>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合</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计</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32"/>
                <w:szCs w:val="32"/>
              </w:rPr>
            </w:pPr>
          </w:p>
        </w:tc>
      </w:tr>
    </w:tbl>
    <w:p>
      <w:pPr>
        <w:rPr>
          <w:rFonts w:hint="default" w:ascii="Times New Roman" w:hAnsi="Times New Roman" w:eastAsia="仿宋_GB2312" w:cs="Times New Roman"/>
          <w:sz w:val="32"/>
          <w:szCs w:val="32"/>
        </w:rPr>
        <w:sectPr>
          <w:footerReference r:id="rId4" w:type="default"/>
          <w:pgSz w:w="16838" w:h="11906" w:orient="landscape"/>
          <w:pgMar w:top="1587" w:right="2098" w:bottom="1474" w:left="1984" w:header="851" w:footer="992" w:gutter="0"/>
          <w:pgNumType w:fmt="numberInDash"/>
          <w:cols w:space="720" w:num="1"/>
          <w:rtlGutter w:val="0"/>
          <w:docGrid w:type="lines" w:linePitch="324" w:charSpace="0"/>
        </w:sectPr>
      </w:pPr>
    </w:p>
    <w:p>
      <w:pPr>
        <w:pStyle w:val="6"/>
        <w:ind w:left="0" w:leftChars="0" w:firstLine="0" w:firstLineChars="0"/>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pPr>
        <w:pStyle w:val="6"/>
        <w:rPr>
          <w:rFonts w:hint="default" w:ascii="Times New Roman" w:hAnsi="Times New Roman" w:eastAsia="仿宋_GB2312" w:cs="Times New Roman"/>
          <w:spacing w:val="0"/>
          <w:w w:val="100"/>
          <w:sz w:val="32"/>
          <w:szCs w:val="32"/>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6720" cy="2698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269875"/>
                      </a:xfrm>
                      <a:prstGeom prst="rect">
                        <a:avLst/>
                      </a:prstGeom>
                      <a:noFill/>
                      <a:ln>
                        <a:noFill/>
                      </a:ln>
                    </wps:spPr>
                    <wps:txbx>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1.25pt;width:33.6pt;mso-position-horizontal:outside;mso-position-horizontal-relative:margin;z-index:251659264;mso-width-relative:page;mso-height-relative:page;" filled="f" stroked="f" coordsize="21600,21600" o:gfxdata="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8XfmNQAAAADAQAADwAAAAAAAAABACAAAAAiAAAAZHJzL2Rvd25yZXYueG1sUEsBAhQAFAAA&#10;AAgAh07iQLesWMq6AQAAcQMAAA4AAAAAAAAAAQAgAAAAIwEAAGRycy9lMm9Eb2MueG1sUEsFBgAA&#10;AAAGAAYAWQEAAE8FAAAAAA==&#10;">
              <v:path/>
              <v:fill on="f" focussize="0,0"/>
              <v:stroke on="f"/>
              <v:imagedata o:title=""/>
              <o:lock v:ext="edit" aspectratio="f"/>
              <v:textbox inset="0mm,0mm,0mm,0mm">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7525" cy="3803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7525" cy="380365"/>
                      </a:xfrm>
                      <a:prstGeom prst="rect">
                        <a:avLst/>
                      </a:prstGeom>
                      <a:noFill/>
                      <a:ln w="15875">
                        <a:noFill/>
                      </a:ln>
                    </wps:spPr>
                    <wps:txbx>
                      <w:txbxContent>
                        <w:p>
                          <w:pPr>
                            <w:pStyle w:val="3"/>
                            <w:rPr>
                              <w:rFonts w:hint="default" w:ascii="Times New Roman" w:hAnsi="Times New Roman" w:eastAsia="等线"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9.95pt;width:40.75pt;mso-position-horizontal:outside;mso-position-horizontal-relative:margin;z-index:251660288;mso-width-relative:page;mso-height-relative:page;" filled="f" stroked="f" coordsize="21600,21600" o:gfxdata="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gZnEtQAAAADAQAADwAAAAAAAAABACAAAAAiAAAAZHJzL2Rvd25yZXYueG1s&#10;UEsBAhQAFAAAAAgAh07iQL3T7WzDAQAAewMAAA4AAAAAAAAAAQAgAAAAIwEAAGRycy9lMm9Eb2Mu&#10;eG1sUEsFBgAAAAAGAAYAWQEAAFgFAAAAAA==&#10;">
              <v:path/>
              <v:fill on="f" focussize="0,0"/>
              <v:stroke on="f" weight="1.25pt"/>
              <v:imagedata o:title=""/>
              <o:lock v:ext="edit" aspectratio="f"/>
              <v:textbox inset="0mm,0mm,0mm,0mm">
                <w:txbxContent>
                  <w:p>
                    <w:pPr>
                      <w:pStyle w:val="3"/>
                      <w:rPr>
                        <w:rFonts w:hint="default" w:ascii="Times New Roman" w:hAnsi="Times New Roman" w:eastAsia="等线"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04CB6"/>
    <w:rsid w:val="7380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unhideWhenUsed/>
    <w:qFormat/>
    <w:uiPriority w:val="99"/>
    <w:pPr>
      <w:ind w:left="420" w:leftChars="200" w:firstLine="21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Body Text Indent 21"/>
    <w:basedOn w:val="1"/>
    <w:qFormat/>
    <w:uiPriority w:val="99"/>
    <w:pPr>
      <w:spacing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2021-05-19T02:36:00Z</dcterms:created>
  <dc:creator>Administrator</dc:creator>
  <cp:lastModifiedBy>Administrator</cp:lastModifiedBy>
  <dcterms:modified xsi:type="dcterms:W3CDTF">2021-05-19T02:38:12Z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B4B11106276C47A991C4F0AF9623AD84</vt:lpwstr>
  </property>
</Properties>
</file>