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bottom w:val="single" w:color="CCCCCC" w:sz="6" w:space="7"/>
        </w:pBdr>
        <w:spacing w:before="0" w:beforeAutospacing="0" w:after="0" w:afterAutospacing="0" w:line="23" w:lineRule="atLeast"/>
        <w:jc w:val="center"/>
        <w:rPr>
          <w:rFonts w:hint="default" w:ascii="微软雅黑" w:hAnsi="微软雅黑" w:eastAsia="微软雅黑" w:cs="微软雅黑"/>
          <w:color w:val="2D2D2E"/>
          <w:sz w:val="33"/>
          <w:szCs w:val="33"/>
        </w:rPr>
      </w:pPr>
      <w:r>
        <w:rPr>
          <w:rFonts w:ascii="微软雅黑" w:hAnsi="微软雅黑" w:eastAsia="微软雅黑" w:cs="微软雅黑"/>
          <w:color w:val="2D2D2E"/>
          <w:sz w:val="33"/>
          <w:szCs w:val="33"/>
        </w:rPr>
        <w:t>202</w:t>
      </w:r>
      <w:r>
        <w:rPr>
          <w:rFonts w:hint="eastAsia" w:ascii="微软雅黑" w:hAnsi="微软雅黑" w:eastAsia="微软雅黑" w:cs="微软雅黑"/>
          <w:color w:val="2D2D2E"/>
          <w:sz w:val="33"/>
          <w:szCs w:val="33"/>
          <w:lang w:val="en-US" w:eastAsia="zh-CN"/>
        </w:rPr>
        <w:t>1</w:t>
      </w:r>
      <w:r>
        <w:rPr>
          <w:rFonts w:ascii="微软雅黑" w:hAnsi="微软雅黑" w:eastAsia="微软雅黑" w:cs="微软雅黑"/>
          <w:color w:val="2D2D2E"/>
          <w:sz w:val="33"/>
          <w:szCs w:val="33"/>
        </w:rPr>
        <w:t>年</w:t>
      </w:r>
      <w:r>
        <w:rPr>
          <w:rFonts w:hint="eastAsia" w:ascii="微软雅黑" w:hAnsi="微软雅黑" w:eastAsia="微软雅黑" w:cs="微软雅黑"/>
          <w:color w:val="2D2D2E"/>
          <w:sz w:val="33"/>
          <w:szCs w:val="33"/>
          <w:lang w:val="en-US" w:eastAsia="zh-CN"/>
        </w:rPr>
        <w:t>6</w:t>
      </w:r>
      <w:r>
        <w:rPr>
          <w:rFonts w:ascii="微软雅黑" w:hAnsi="微软雅黑" w:eastAsia="微软雅黑" w:cs="微软雅黑"/>
          <w:color w:val="2D2D2E"/>
          <w:sz w:val="33"/>
          <w:szCs w:val="33"/>
        </w:rPr>
        <w:t>月</w:t>
      </w:r>
      <w:r>
        <w:rPr>
          <w:rFonts w:hint="eastAsia" w:ascii="微软雅黑" w:hAnsi="微软雅黑" w:eastAsia="微软雅黑" w:cs="微软雅黑"/>
          <w:color w:val="2D2D2E"/>
          <w:sz w:val="33"/>
          <w:szCs w:val="33"/>
          <w:lang w:val="en-US" w:eastAsia="zh-CN"/>
        </w:rPr>
        <w:t>9</w:t>
      </w:r>
      <w:r>
        <w:rPr>
          <w:rFonts w:ascii="微软雅黑" w:hAnsi="微软雅黑" w:eastAsia="微软雅黑" w:cs="微软雅黑"/>
          <w:color w:val="2D2D2E"/>
          <w:sz w:val="33"/>
          <w:szCs w:val="33"/>
        </w:rPr>
        <w:t>日白银市生态环境局白银分局拟作出的建设项目环境影响评价文件审批</w:t>
      </w:r>
    </w:p>
    <w:p>
      <w:pPr>
        <w:pStyle w:val="4"/>
        <w:widowControl/>
        <w:pBdr>
          <w:bottom w:val="single" w:color="CCCCCC" w:sz="6" w:space="7"/>
        </w:pBdr>
        <w:spacing w:before="0" w:beforeAutospacing="0" w:after="0" w:afterAutospacing="0" w:line="23" w:lineRule="atLeast"/>
        <w:jc w:val="center"/>
        <w:rPr>
          <w:rFonts w:hint="default" w:ascii="微软雅黑" w:hAnsi="微软雅黑" w:eastAsia="微软雅黑" w:cs="微软雅黑"/>
          <w:color w:val="2D2D2E"/>
          <w:sz w:val="33"/>
          <w:szCs w:val="33"/>
        </w:rPr>
      </w:pPr>
      <w:r>
        <w:rPr>
          <w:rFonts w:ascii="微软雅黑" w:hAnsi="微软雅黑" w:eastAsia="微软雅黑" w:cs="微软雅黑"/>
          <w:color w:val="2D2D2E"/>
          <w:sz w:val="33"/>
          <w:szCs w:val="33"/>
        </w:rPr>
        <w:t>意见的公示</w:t>
      </w:r>
    </w:p>
    <w:p>
      <w:pPr>
        <w:pStyle w:val="7"/>
        <w:widowControl/>
        <w:spacing w:before="45" w:beforeAutospacing="0" w:after="45" w:afterAutospacing="0" w:line="27" w:lineRule="atLeast"/>
        <w:ind w:firstLine="640" w:firstLineChars="200"/>
        <w:rPr>
          <w:rFonts w:ascii="微软雅黑" w:hAnsi="微软雅黑" w:eastAsia="微软雅黑" w:cs="微软雅黑"/>
          <w:color w:val="2D2D2E"/>
          <w:sz w:val="32"/>
          <w:szCs w:val="32"/>
        </w:rPr>
      </w:pPr>
      <w:r>
        <w:rPr>
          <w:rFonts w:hint="eastAsia" w:ascii="仿宋" w:hAnsi="仿宋" w:eastAsia="仿宋" w:cs="仿宋"/>
          <w:color w:val="333333"/>
          <w:sz w:val="32"/>
          <w:szCs w:val="32"/>
          <w:shd w:val="clear" w:color="auto" w:fill="FFFFFF"/>
        </w:rPr>
        <w:t>根据建设项目环境影响评价审批程序的有关规定，为保证此次审查工作的严肃性和公正性，现将拟作出审批意见的环境影响评价文件基本情况予以公示，公示期为202</w:t>
      </w:r>
      <w:r>
        <w:rPr>
          <w:rFonts w:hint="eastAsia" w:ascii="仿宋" w:hAnsi="仿宋" w:eastAsia="仿宋" w:cs="仿宋"/>
          <w:color w:val="333333"/>
          <w:sz w:val="32"/>
          <w:szCs w:val="32"/>
          <w:shd w:val="clear" w:color="auto" w:fill="FFFFFF"/>
          <w:lang w:val="en-US" w:eastAsia="zh-CN"/>
        </w:rPr>
        <w:t>1</w:t>
      </w:r>
      <w:r>
        <w:rPr>
          <w:rFonts w:hint="eastAsia" w:ascii="仿宋" w:hAnsi="仿宋" w:eastAsia="仿宋" w:cs="仿宋"/>
          <w:color w:val="333333"/>
          <w:sz w:val="32"/>
          <w:szCs w:val="32"/>
          <w:shd w:val="clear" w:color="auto" w:fill="FFFFFF"/>
        </w:rPr>
        <w:t>年</w:t>
      </w:r>
      <w:r>
        <w:rPr>
          <w:rFonts w:hint="eastAsia" w:ascii="仿宋" w:hAnsi="仿宋" w:eastAsia="仿宋" w:cs="仿宋"/>
          <w:color w:val="333333"/>
          <w:sz w:val="32"/>
          <w:szCs w:val="32"/>
          <w:shd w:val="clear" w:color="auto" w:fill="FFFFFF"/>
          <w:lang w:val="en-US" w:eastAsia="zh-CN"/>
        </w:rPr>
        <w:t>6</w:t>
      </w:r>
      <w:r>
        <w:rPr>
          <w:rFonts w:hint="eastAsia" w:ascii="仿宋" w:hAnsi="仿宋" w:eastAsia="仿宋" w:cs="仿宋"/>
          <w:color w:val="333333"/>
          <w:sz w:val="32"/>
          <w:szCs w:val="32"/>
          <w:shd w:val="clear" w:color="auto" w:fill="FFFFFF"/>
        </w:rPr>
        <w:t>月</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日起5个工作日。</w:t>
      </w:r>
    </w:p>
    <w:p>
      <w:pPr>
        <w:pStyle w:val="7"/>
        <w:widowControl/>
        <w:spacing w:before="45" w:beforeAutospacing="0" w:after="45" w:afterAutospacing="0" w:line="27" w:lineRule="atLeast"/>
        <w:ind w:firstLine="640" w:firstLineChars="200"/>
        <w:rPr>
          <w:rFonts w:ascii="微软雅黑" w:hAnsi="微软雅黑" w:eastAsia="微软雅黑" w:cs="微软雅黑"/>
          <w:color w:val="2D2D2E"/>
          <w:sz w:val="32"/>
          <w:szCs w:val="32"/>
        </w:rPr>
      </w:pPr>
      <w:r>
        <w:rPr>
          <w:rFonts w:hint="eastAsia" w:ascii="仿宋" w:hAnsi="仿宋" w:eastAsia="仿宋" w:cs="仿宋"/>
          <w:color w:val="333333"/>
          <w:sz w:val="32"/>
          <w:szCs w:val="32"/>
          <w:shd w:val="clear" w:color="auto" w:fill="FFFFFF"/>
        </w:rPr>
        <w:t>听证权利告知：依据《中华人民共和国行政许可法》，自公示起五日内申请人、利害关系人可对以下拟作出的建设项目环境影响评价文件审批意见要求听证。</w:t>
      </w:r>
    </w:p>
    <w:p>
      <w:pPr>
        <w:pStyle w:val="7"/>
        <w:widowControl/>
        <w:spacing w:before="45" w:beforeAutospacing="0" w:after="45" w:afterAutospacing="0" w:line="27" w:lineRule="atLeast"/>
        <w:ind w:firstLine="315"/>
        <w:rPr>
          <w:rFonts w:ascii="仿宋" w:hAnsi="仿宋" w:eastAsia="仿宋" w:cs="仿宋"/>
          <w:color w:val="2D2D2E"/>
          <w:sz w:val="32"/>
          <w:szCs w:val="32"/>
          <w:shd w:val="clear" w:color="auto" w:fill="FFFFFF"/>
        </w:rPr>
      </w:pPr>
      <w:r>
        <w:rPr>
          <w:rFonts w:hint="eastAsia" w:ascii="仿宋" w:hAnsi="仿宋" w:eastAsia="仿宋" w:cs="仿宋"/>
          <w:color w:val="333333"/>
          <w:sz w:val="32"/>
          <w:szCs w:val="32"/>
          <w:shd w:val="clear" w:color="auto" w:fill="FFFFFF"/>
        </w:rPr>
        <w:t>联系电话：</w:t>
      </w:r>
      <w:r>
        <w:rPr>
          <w:rFonts w:hint="eastAsia" w:ascii="仿宋" w:hAnsi="仿宋" w:eastAsia="仿宋" w:cs="仿宋"/>
          <w:color w:val="2D2D2E"/>
          <w:sz w:val="32"/>
          <w:szCs w:val="32"/>
          <w:shd w:val="clear" w:color="auto" w:fill="FFFFFF"/>
        </w:rPr>
        <w:t>0943-8227782</w:t>
      </w:r>
    </w:p>
    <w:p>
      <w:pPr>
        <w:pStyle w:val="7"/>
        <w:widowControl/>
        <w:spacing w:before="45" w:beforeAutospacing="0" w:after="45" w:afterAutospacing="0" w:line="27" w:lineRule="atLeast"/>
        <w:ind w:firstLine="315"/>
        <w:rPr>
          <w:rFonts w:ascii="微软雅黑" w:hAnsi="微软雅黑" w:eastAsia="微软雅黑" w:cs="微软雅黑"/>
          <w:color w:val="2D2D2E"/>
          <w:sz w:val="32"/>
          <w:szCs w:val="32"/>
        </w:rPr>
      </w:pPr>
      <w:r>
        <w:rPr>
          <w:rFonts w:hint="eastAsia" w:ascii="仿宋" w:hAnsi="仿宋" w:eastAsia="仿宋" w:cs="仿宋"/>
          <w:color w:val="333333"/>
          <w:sz w:val="32"/>
          <w:szCs w:val="32"/>
          <w:shd w:val="clear" w:color="auto" w:fill="FFFFFF"/>
        </w:rPr>
        <w:t>通讯地址：白银市白银区东星街76号</w:t>
      </w:r>
    </w:p>
    <w:p>
      <w:pPr>
        <w:pStyle w:val="7"/>
        <w:widowControl/>
        <w:spacing w:before="45" w:beforeAutospacing="0" w:after="45" w:afterAutospacing="0" w:line="27" w:lineRule="atLeast"/>
        <w:ind w:firstLine="315"/>
        <w:rPr>
          <w:rFonts w:ascii="微软雅黑" w:hAnsi="微软雅黑" w:eastAsia="微软雅黑" w:cs="微软雅黑"/>
          <w:color w:val="2D2D2E"/>
          <w:sz w:val="32"/>
          <w:szCs w:val="32"/>
        </w:rPr>
      </w:pPr>
      <w:r>
        <w:rPr>
          <w:rFonts w:hint="eastAsia" w:ascii="仿宋" w:hAnsi="仿宋" w:eastAsia="仿宋" w:cs="仿宋"/>
          <w:color w:val="333333"/>
          <w:sz w:val="32"/>
          <w:szCs w:val="32"/>
          <w:shd w:val="clear" w:color="auto" w:fill="FFFFFF"/>
        </w:rPr>
        <w:t>邮 编：730900</w:t>
      </w:r>
    </w:p>
    <w:p>
      <w:pPr>
        <w:pStyle w:val="7"/>
        <w:widowControl/>
        <w:spacing w:before="0" w:beforeAutospacing="0" w:after="0" w:afterAutospacing="0" w:line="27" w:lineRule="atLeast"/>
        <w:jc w:val="both"/>
        <w:rPr>
          <w:rFonts w:eastAsia="微软雅黑" w:cs="Calibri"/>
          <w:color w:val="2D2D2E"/>
          <w:sz w:val="32"/>
          <w:szCs w:val="32"/>
        </w:rPr>
      </w:pPr>
      <w:r>
        <w:rPr>
          <w:rFonts w:eastAsia="微软雅黑" w:cs="Calibri"/>
          <w:color w:val="2D2D2E"/>
          <w:sz w:val="32"/>
          <w:szCs w:val="32"/>
        </w:rPr>
        <w:t> </w:t>
      </w:r>
    </w:p>
    <w:p>
      <w:pPr>
        <w:pStyle w:val="7"/>
        <w:widowControl/>
        <w:spacing w:before="0" w:beforeAutospacing="0" w:after="0" w:afterAutospacing="0" w:line="27" w:lineRule="atLeast"/>
        <w:jc w:val="both"/>
        <w:rPr>
          <w:rFonts w:eastAsia="微软雅黑" w:cs="Calibri"/>
          <w:color w:val="2D2D2E"/>
          <w:sz w:val="32"/>
          <w:szCs w:val="32"/>
        </w:rPr>
      </w:pPr>
    </w:p>
    <w:tbl>
      <w:tblPr>
        <w:tblStyle w:val="9"/>
        <w:tblpPr w:leftFromText="180" w:rightFromText="180" w:vertAnchor="text" w:horzAnchor="page" w:tblpX="1553" w:tblpY="625"/>
        <w:tblOverlap w:val="never"/>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66"/>
        <w:gridCol w:w="896"/>
        <w:gridCol w:w="825"/>
        <w:gridCol w:w="730"/>
        <w:gridCol w:w="2512"/>
        <w:gridCol w:w="7013"/>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5" w:type="dxa"/>
          </w:tcPr>
          <w:p>
            <w:pPr>
              <w:rPr>
                <w:sz w:val="24"/>
              </w:rPr>
            </w:pPr>
          </w:p>
          <w:p>
            <w:pPr>
              <w:rPr>
                <w:sz w:val="24"/>
              </w:rPr>
            </w:pPr>
            <w:r>
              <w:rPr>
                <w:rFonts w:hint="eastAsia"/>
                <w:sz w:val="24"/>
              </w:rPr>
              <w:t>序号</w:t>
            </w:r>
          </w:p>
        </w:tc>
        <w:tc>
          <w:tcPr>
            <w:tcW w:w="866" w:type="dxa"/>
          </w:tcPr>
          <w:p>
            <w:pPr>
              <w:rPr>
                <w:sz w:val="24"/>
              </w:rPr>
            </w:pPr>
          </w:p>
          <w:p>
            <w:pPr>
              <w:rPr>
                <w:sz w:val="24"/>
              </w:rPr>
            </w:pPr>
            <w:r>
              <w:rPr>
                <w:rFonts w:hint="eastAsia"/>
                <w:sz w:val="24"/>
              </w:rPr>
              <w:t>项目名 称</w:t>
            </w:r>
          </w:p>
        </w:tc>
        <w:tc>
          <w:tcPr>
            <w:tcW w:w="896" w:type="dxa"/>
          </w:tcPr>
          <w:p>
            <w:pPr>
              <w:rPr>
                <w:sz w:val="24"/>
              </w:rPr>
            </w:pPr>
          </w:p>
          <w:p>
            <w:pPr>
              <w:rPr>
                <w:sz w:val="24"/>
              </w:rPr>
            </w:pPr>
            <w:r>
              <w:rPr>
                <w:rFonts w:hint="eastAsia"/>
                <w:sz w:val="24"/>
              </w:rPr>
              <w:t>建设地 点</w:t>
            </w:r>
          </w:p>
        </w:tc>
        <w:tc>
          <w:tcPr>
            <w:tcW w:w="825" w:type="dxa"/>
          </w:tcPr>
          <w:p>
            <w:pPr>
              <w:rPr>
                <w:sz w:val="24"/>
              </w:rPr>
            </w:pPr>
          </w:p>
          <w:p>
            <w:pPr>
              <w:rPr>
                <w:sz w:val="24"/>
              </w:rPr>
            </w:pPr>
            <w:r>
              <w:rPr>
                <w:rFonts w:hint="eastAsia"/>
                <w:sz w:val="24"/>
              </w:rPr>
              <w:t>建设单 位</w:t>
            </w:r>
          </w:p>
        </w:tc>
        <w:tc>
          <w:tcPr>
            <w:tcW w:w="730" w:type="dxa"/>
          </w:tcPr>
          <w:p>
            <w:pPr>
              <w:rPr>
                <w:sz w:val="24"/>
              </w:rPr>
            </w:pPr>
            <w:r>
              <w:rPr>
                <w:rFonts w:hint="eastAsia"/>
                <w:sz w:val="24"/>
              </w:rPr>
              <w:t>环境影响评价机构</w:t>
            </w:r>
          </w:p>
        </w:tc>
        <w:tc>
          <w:tcPr>
            <w:tcW w:w="2512" w:type="dxa"/>
          </w:tcPr>
          <w:p>
            <w:pPr>
              <w:ind w:firstLine="720" w:firstLineChars="300"/>
              <w:rPr>
                <w:color w:val="FF0000"/>
                <w:sz w:val="24"/>
              </w:rPr>
            </w:pPr>
          </w:p>
          <w:p>
            <w:pPr>
              <w:ind w:firstLine="720" w:firstLineChars="300"/>
              <w:rPr>
                <w:sz w:val="24"/>
              </w:rPr>
            </w:pPr>
            <w:r>
              <w:rPr>
                <w:rFonts w:hint="eastAsia"/>
                <w:sz w:val="24"/>
              </w:rPr>
              <w:t>项目概况</w:t>
            </w:r>
          </w:p>
        </w:tc>
        <w:tc>
          <w:tcPr>
            <w:tcW w:w="7013" w:type="dxa"/>
          </w:tcPr>
          <w:p>
            <w:pPr>
              <w:ind w:firstLine="720" w:firstLineChars="300"/>
              <w:rPr>
                <w:sz w:val="24"/>
              </w:rPr>
            </w:pPr>
          </w:p>
          <w:p>
            <w:pPr>
              <w:ind w:firstLine="480" w:firstLineChars="200"/>
              <w:rPr>
                <w:sz w:val="24"/>
              </w:rPr>
            </w:pPr>
            <w:r>
              <w:rPr>
                <w:rFonts w:hint="eastAsia"/>
                <w:sz w:val="24"/>
              </w:rPr>
              <w:t>主要环境影响及预防或者减轻不良环境影响的对策和措施</w:t>
            </w:r>
          </w:p>
        </w:tc>
        <w:tc>
          <w:tcPr>
            <w:tcW w:w="523" w:type="dxa"/>
          </w:tcPr>
          <w:p>
            <w:pP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4" w:hRule="atLeast"/>
        </w:trPr>
        <w:tc>
          <w:tcPr>
            <w:tcW w:w="615"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sz w:val="24"/>
              </w:rPr>
            </w:pPr>
            <w:r>
              <w:rPr>
                <w:rFonts w:hint="eastAsia"/>
                <w:sz w:val="24"/>
              </w:rPr>
              <w:t>1</w:t>
            </w:r>
          </w:p>
        </w:tc>
        <w:tc>
          <w:tcPr>
            <w:tcW w:w="866" w:type="dxa"/>
          </w:tcPr>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val="en-US" w:eastAsia="zh-CN"/>
              </w:rPr>
            </w:pPr>
          </w:p>
          <w:p>
            <w:pPr>
              <w:rPr>
                <w:rFonts w:hint="eastAsia" w:eastAsia="仿宋_GB2312" w:cs="Times New Roman"/>
                <w:sz w:val="24"/>
                <w:lang w:val="en-US" w:eastAsia="zh-CN"/>
              </w:rPr>
            </w:pPr>
          </w:p>
          <w:p>
            <w:pPr>
              <w:rPr>
                <w:rFonts w:hint="eastAsia" w:eastAsia="仿宋_GB2312" w:cs="Times New Roman"/>
                <w:sz w:val="24"/>
                <w:lang w:eastAsia="zh-CN"/>
              </w:rPr>
            </w:pPr>
            <w:r>
              <w:rPr>
                <w:rFonts w:hint="default" w:eastAsia="仿宋_GB2312" w:cs="Times New Roman"/>
                <w:sz w:val="24"/>
                <w:lang w:eastAsia="zh-CN"/>
              </w:rPr>
              <w:t>NEOPOR®.巴斯夫外墙保温装饰一体化板</w:t>
            </w:r>
            <w:r>
              <w:rPr>
                <w:rFonts w:hint="eastAsia" w:eastAsia="仿宋_GB2312" w:cs="Times New Roman"/>
                <w:sz w:val="24"/>
                <w:lang w:eastAsia="zh-CN"/>
              </w:rPr>
              <w:t>项目</w:t>
            </w:r>
          </w:p>
        </w:tc>
        <w:tc>
          <w:tcPr>
            <w:tcW w:w="896" w:type="dxa"/>
          </w:tcPr>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eastAsia="zh-CN"/>
              </w:rPr>
            </w:pPr>
          </w:p>
          <w:p>
            <w:pPr>
              <w:rPr>
                <w:rFonts w:hint="default" w:eastAsia="仿宋_GB2312" w:cs="Times New Roman"/>
                <w:sz w:val="24"/>
                <w:lang w:val="en-US" w:eastAsia="zh-CN"/>
              </w:rPr>
            </w:pPr>
            <w:r>
              <w:rPr>
                <w:rFonts w:hint="eastAsia" w:eastAsia="仿宋_GB2312" w:cs="Times New Roman"/>
                <w:sz w:val="24"/>
                <w:lang w:eastAsia="zh-CN"/>
              </w:rPr>
              <w:t>白银市白银区银西工业园</w:t>
            </w:r>
          </w:p>
        </w:tc>
        <w:tc>
          <w:tcPr>
            <w:tcW w:w="825" w:type="dxa"/>
          </w:tcPr>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eastAsia="zh-CN"/>
              </w:rPr>
            </w:pPr>
          </w:p>
          <w:p>
            <w:pPr>
              <w:rPr>
                <w:rFonts w:hint="eastAsia" w:eastAsia="仿宋_GB2312" w:cs="Times New Roman"/>
                <w:sz w:val="24"/>
                <w:lang w:eastAsia="zh-CN"/>
              </w:rPr>
            </w:pPr>
            <w:r>
              <w:rPr>
                <w:rFonts w:hint="default" w:eastAsia="仿宋_GB2312" w:cs="Times New Roman"/>
                <w:sz w:val="24"/>
                <w:lang w:eastAsia="zh-CN"/>
              </w:rPr>
              <w:t>甘肃巴斯得建筑节能材料科技有限公司</w:t>
            </w:r>
          </w:p>
        </w:tc>
        <w:tc>
          <w:tcPr>
            <w:tcW w:w="730" w:type="dxa"/>
          </w:tcPr>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rPr>
                <w:rFonts w:hint="eastAsia" w:eastAsia="仿宋_GB2312"/>
                <w:sz w:val="24"/>
                <w:lang w:eastAsia="zh-CN"/>
              </w:rPr>
            </w:pPr>
            <w:r>
              <w:rPr>
                <w:rFonts w:hint="eastAsia" w:eastAsia="仿宋_GB2312"/>
                <w:sz w:val="24"/>
                <w:lang w:eastAsia="zh-CN"/>
              </w:rPr>
              <w:t>甘肃环洁环保科技有限公司</w:t>
            </w:r>
          </w:p>
        </w:tc>
        <w:tc>
          <w:tcPr>
            <w:tcW w:w="2512" w:type="dxa"/>
          </w:tcPr>
          <w:p>
            <w:pPr>
              <w:keepNext w:val="0"/>
              <w:keepLines w:val="0"/>
              <w:widowControl/>
              <w:suppressLineNumbers w:val="0"/>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eastAsia="zh-CN"/>
              </w:rPr>
              <w:t>建设内容：主体工程外墙保温装饰一体化板生产线，</w:t>
            </w:r>
            <w:r>
              <w:rPr>
                <w:rFonts w:hint="eastAsia" w:ascii="仿宋" w:hAnsi="仿宋" w:eastAsia="仿宋" w:cs="Times New Roman"/>
                <w:szCs w:val="21"/>
                <w:lang w:val="en-US" w:eastAsia="zh-CN"/>
              </w:rPr>
              <w:t>两</w:t>
            </w:r>
            <w:r>
              <w:rPr>
                <w:rFonts w:hint="eastAsia" w:ascii="仿宋" w:hAnsi="仿宋" w:eastAsia="仿宋" w:cs="Times New Roman"/>
                <w:szCs w:val="21"/>
                <w:lang w:eastAsia="zh-CN"/>
              </w:rPr>
              <w:t>座</w:t>
            </w:r>
            <w:r>
              <w:rPr>
                <w:rFonts w:hint="eastAsia" w:ascii="仿宋" w:hAnsi="仿宋" w:eastAsia="仿宋" w:cs="Times New Roman"/>
                <w:szCs w:val="21"/>
                <w:lang w:val="en-US" w:eastAsia="zh-CN"/>
              </w:rPr>
              <w:t>2700m</w:t>
            </w:r>
            <w:r>
              <w:rPr>
                <w:rFonts w:hint="eastAsia" w:ascii="仿宋" w:hAnsi="仿宋" w:eastAsia="仿宋" w:cs="Times New Roman"/>
                <w:sz w:val="21"/>
                <w:szCs w:val="21"/>
                <w:vertAlign w:val="superscript"/>
                <w:lang w:val="en-US" w:eastAsia="zh-CN"/>
              </w:rPr>
              <w:t>2</w:t>
            </w:r>
            <w:r>
              <w:rPr>
                <w:rFonts w:hint="eastAsia" w:ascii="仿宋" w:hAnsi="仿宋" w:eastAsia="仿宋" w:cs="Times New Roman"/>
                <w:szCs w:val="21"/>
                <w:lang w:eastAsia="zh-CN"/>
              </w:rPr>
              <w:t>一层钢结构生产车间，</w:t>
            </w:r>
            <w:r>
              <w:rPr>
                <w:rFonts w:hint="eastAsia" w:ascii="仿宋" w:hAnsi="仿宋" w:eastAsia="仿宋" w:cs="Times New Roman"/>
                <w:szCs w:val="21"/>
                <w:lang w:val="en-US" w:eastAsia="zh-CN"/>
              </w:rPr>
              <w:t>其中1#车间</w:t>
            </w:r>
            <w:r>
              <w:rPr>
                <w:rFonts w:hint="eastAsia" w:ascii="仿宋" w:hAnsi="仿宋" w:eastAsia="仿宋" w:cs="Times New Roman"/>
                <w:szCs w:val="21"/>
                <w:lang w:eastAsia="zh-CN"/>
              </w:rPr>
              <w:t>用于生产</w:t>
            </w:r>
            <w:r>
              <w:rPr>
                <w:rFonts w:hint="eastAsia" w:ascii="仿宋" w:hAnsi="仿宋" w:eastAsia="仿宋" w:cs="Times New Roman"/>
                <w:szCs w:val="21"/>
                <w:lang w:val="en-US" w:eastAsia="zh-CN"/>
              </w:rPr>
              <w:t>可发性石墨</w:t>
            </w:r>
            <w:r>
              <w:rPr>
                <w:rFonts w:hint="eastAsia" w:ascii="仿宋" w:hAnsi="仿宋" w:eastAsia="仿宋" w:cs="Times New Roman"/>
                <w:szCs w:val="21"/>
                <w:lang w:eastAsia="zh-CN"/>
              </w:rPr>
              <w:t>聚苯乙烯板，</w:t>
            </w:r>
            <w:r>
              <w:rPr>
                <w:rFonts w:hint="eastAsia" w:ascii="仿宋" w:hAnsi="仿宋" w:eastAsia="仿宋" w:cs="Times New Roman"/>
                <w:szCs w:val="21"/>
                <w:lang w:val="en-US" w:eastAsia="zh-CN"/>
              </w:rPr>
              <w:t>2#车间将聚苯乙烯板、石岩棉分别与硅钙板进行喷漆、粘合、雕刻等</w:t>
            </w:r>
            <w:r>
              <w:rPr>
                <w:rFonts w:hint="eastAsia" w:ascii="仿宋" w:hAnsi="仿宋" w:eastAsia="仿宋" w:cs="Times New Roman"/>
                <w:szCs w:val="21"/>
                <w:lang w:eastAsia="zh-CN"/>
              </w:rPr>
              <w:t>加工成复合板；辅助工程包括办公生活区、锅炉房、配电室、循环水池及泵房、地磅房、门房等；贮运工程包括原料库和成品库分别设置在</w:t>
            </w:r>
            <w:r>
              <w:rPr>
                <w:rFonts w:hint="eastAsia" w:ascii="仿宋" w:hAnsi="仿宋" w:eastAsia="仿宋" w:cs="Times New Roman"/>
                <w:szCs w:val="21"/>
                <w:lang w:val="en-US" w:eastAsia="zh-CN"/>
              </w:rPr>
              <w:t>1号和2号车间；</w:t>
            </w:r>
            <w:r>
              <w:rPr>
                <w:rFonts w:hint="eastAsia" w:ascii="仿宋" w:hAnsi="仿宋" w:eastAsia="仿宋" w:cs="Times New Roman"/>
                <w:szCs w:val="21"/>
                <w:lang w:eastAsia="zh-CN"/>
              </w:rPr>
              <w:t>公用工程包括供水、排水、供电、供暖、消防等；环保工程包括废气、废水、固废和噪声治理设施。生产规模</w:t>
            </w:r>
            <w:r>
              <w:rPr>
                <w:rFonts w:hint="eastAsia" w:ascii="仿宋" w:hAnsi="仿宋" w:eastAsia="仿宋" w:cs="Times New Roman"/>
                <w:szCs w:val="21"/>
                <w:lang w:val="en-US" w:eastAsia="zh-CN"/>
              </w:rPr>
              <w:t>200万</w:t>
            </w:r>
            <w:r>
              <w:rPr>
                <w:rFonts w:hint="eastAsia" w:ascii="仿宋" w:hAnsi="仿宋" w:eastAsia="仿宋" w:cs="Times New Roman"/>
                <w:szCs w:val="21"/>
                <w:lang w:eastAsia="zh-CN"/>
              </w:rPr>
              <w:t>m</w:t>
            </w:r>
            <w:r>
              <w:rPr>
                <w:rFonts w:hint="eastAsia" w:ascii="仿宋" w:hAnsi="仿宋" w:eastAsia="仿宋" w:cs="Times New Roman"/>
                <w:sz w:val="21"/>
                <w:szCs w:val="21"/>
                <w:vertAlign w:val="superscript"/>
                <w:lang w:eastAsia="zh-CN"/>
              </w:rPr>
              <w:t>2</w:t>
            </w:r>
            <w:r>
              <w:rPr>
                <w:rFonts w:hint="eastAsia" w:ascii="仿宋" w:hAnsi="仿宋" w:eastAsia="仿宋" w:cs="Times New Roman"/>
                <w:szCs w:val="21"/>
                <w:lang w:val="en-US" w:eastAsia="zh-CN"/>
              </w:rPr>
              <w:t>/</w:t>
            </w:r>
            <w:r>
              <w:rPr>
                <w:rFonts w:hint="eastAsia" w:ascii="仿宋" w:hAnsi="仿宋" w:eastAsia="仿宋" w:cs="Times New Roman"/>
                <w:szCs w:val="21"/>
                <w:lang w:eastAsia="zh-CN"/>
              </w:rPr>
              <w:t>年</w:t>
            </w:r>
            <w:r>
              <w:rPr>
                <w:rFonts w:hint="eastAsia" w:ascii="仿宋" w:hAnsi="仿宋" w:eastAsia="仿宋" w:cs="Times New Roman"/>
                <w:szCs w:val="21"/>
                <w:lang w:val="en-US" w:eastAsia="zh-CN"/>
              </w:rPr>
              <w:t>外墙保温板，其中可发性石墨聚苯乙烯板80万</w:t>
            </w:r>
            <w:r>
              <w:rPr>
                <w:rFonts w:hint="eastAsia" w:ascii="仿宋" w:hAnsi="仿宋" w:eastAsia="仿宋" w:cs="Times New Roman"/>
                <w:szCs w:val="21"/>
                <w:lang w:eastAsia="zh-CN"/>
              </w:rPr>
              <w:t>m</w:t>
            </w:r>
            <w:r>
              <w:rPr>
                <w:rFonts w:hint="eastAsia" w:ascii="仿宋" w:hAnsi="仿宋" w:eastAsia="仿宋" w:cs="Times New Roman"/>
                <w:sz w:val="21"/>
                <w:szCs w:val="21"/>
                <w:vertAlign w:val="superscript"/>
                <w:lang w:eastAsia="zh-CN"/>
              </w:rPr>
              <w:t>2</w:t>
            </w:r>
            <w:r>
              <w:rPr>
                <w:rFonts w:hint="eastAsia" w:ascii="仿宋" w:hAnsi="仿宋" w:eastAsia="仿宋" w:cs="Times New Roman"/>
                <w:szCs w:val="21"/>
                <w:lang w:val="en-US" w:eastAsia="zh-CN"/>
              </w:rPr>
              <w:t>，复合外墙保温板120万</w:t>
            </w:r>
            <w:r>
              <w:rPr>
                <w:rFonts w:hint="eastAsia" w:ascii="仿宋" w:hAnsi="仿宋" w:eastAsia="仿宋" w:cs="Times New Roman"/>
                <w:szCs w:val="21"/>
                <w:lang w:eastAsia="zh-CN"/>
              </w:rPr>
              <w:t>m</w:t>
            </w:r>
            <w:r>
              <w:rPr>
                <w:rFonts w:hint="eastAsia" w:ascii="仿宋" w:hAnsi="仿宋" w:eastAsia="仿宋" w:cs="Times New Roman"/>
                <w:sz w:val="21"/>
                <w:szCs w:val="21"/>
                <w:vertAlign w:val="superscript"/>
                <w:lang w:eastAsia="zh-CN"/>
              </w:rPr>
              <w:t>2</w:t>
            </w:r>
            <w:r>
              <w:rPr>
                <w:rFonts w:hint="eastAsia" w:ascii="仿宋" w:hAnsi="仿宋" w:eastAsia="仿宋" w:cs="Times New Roman"/>
                <w:szCs w:val="21"/>
                <w:lang w:eastAsia="zh-CN"/>
              </w:rPr>
              <w:t>（聚苯乙烯复合板</w:t>
            </w:r>
            <w:r>
              <w:rPr>
                <w:rFonts w:hint="eastAsia" w:ascii="仿宋" w:hAnsi="仿宋" w:eastAsia="仿宋" w:cs="Times New Roman"/>
                <w:szCs w:val="21"/>
                <w:lang w:val="en-US" w:eastAsia="zh-CN"/>
              </w:rPr>
              <w:t>40万</w:t>
            </w:r>
            <w:r>
              <w:rPr>
                <w:rFonts w:hint="eastAsia" w:ascii="仿宋" w:hAnsi="仿宋" w:eastAsia="仿宋" w:cs="Times New Roman"/>
                <w:szCs w:val="21"/>
                <w:lang w:eastAsia="zh-CN"/>
              </w:rPr>
              <w:t>m</w:t>
            </w:r>
            <w:r>
              <w:rPr>
                <w:rFonts w:hint="eastAsia" w:ascii="仿宋" w:hAnsi="仿宋" w:eastAsia="仿宋" w:cs="Times New Roman"/>
                <w:sz w:val="21"/>
                <w:szCs w:val="21"/>
                <w:vertAlign w:val="superscript"/>
                <w:lang w:eastAsia="zh-CN"/>
              </w:rPr>
              <w:t>2</w:t>
            </w:r>
            <w:r>
              <w:rPr>
                <w:rFonts w:hint="eastAsia" w:ascii="仿宋" w:hAnsi="仿宋" w:eastAsia="仿宋" w:cs="Times New Roman"/>
                <w:szCs w:val="21"/>
                <w:lang w:val="en-US" w:eastAsia="zh-CN"/>
              </w:rPr>
              <w:t>，石岩棉复合板80万</w:t>
            </w:r>
            <w:r>
              <w:rPr>
                <w:rFonts w:hint="eastAsia" w:ascii="仿宋" w:hAnsi="仿宋" w:eastAsia="仿宋" w:cs="Times New Roman"/>
                <w:szCs w:val="21"/>
                <w:lang w:eastAsia="zh-CN"/>
              </w:rPr>
              <w:t>m</w:t>
            </w:r>
            <w:r>
              <w:rPr>
                <w:rFonts w:hint="eastAsia" w:ascii="仿宋" w:hAnsi="仿宋" w:eastAsia="仿宋" w:cs="Times New Roman"/>
                <w:sz w:val="21"/>
                <w:szCs w:val="21"/>
                <w:vertAlign w:val="superscript"/>
                <w:lang w:eastAsia="zh-CN"/>
              </w:rPr>
              <w:t>2</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。产品规格可发性石墨聚苯乙烯板为6.0m</w:t>
            </w:r>
            <w:r>
              <w:rPr>
                <w:rFonts w:hint="default" w:ascii="仿宋" w:hAnsi="仿宋" w:eastAsia="仿宋" w:cs="Times New Roman"/>
                <w:szCs w:val="21"/>
                <w:lang w:val="en-US" w:eastAsia="zh-CN"/>
              </w:rPr>
              <w:t>×</w:t>
            </w:r>
            <w:r>
              <w:rPr>
                <w:rFonts w:hint="eastAsia" w:ascii="仿宋" w:hAnsi="仿宋" w:eastAsia="仿宋" w:cs="Times New Roman"/>
                <w:szCs w:val="21"/>
                <w:lang w:val="en-US" w:eastAsia="zh-CN"/>
              </w:rPr>
              <w:t>1.2m的矩形，复合外墙保温板2.44m</w:t>
            </w:r>
            <w:r>
              <w:rPr>
                <w:rFonts w:hint="default" w:ascii="仿宋" w:hAnsi="仿宋" w:eastAsia="仿宋" w:cs="Times New Roman"/>
                <w:szCs w:val="21"/>
                <w:lang w:val="en-US" w:eastAsia="zh-CN"/>
              </w:rPr>
              <w:t>×</w:t>
            </w:r>
            <w:r>
              <w:rPr>
                <w:rFonts w:hint="eastAsia" w:ascii="仿宋" w:hAnsi="仿宋" w:eastAsia="仿宋" w:cs="Times New Roman"/>
                <w:szCs w:val="21"/>
                <w:lang w:val="en-US" w:eastAsia="zh-CN"/>
              </w:rPr>
              <w:t>1.22m的矩形，厚度均为30-100mm。</w:t>
            </w:r>
            <w:r>
              <w:rPr>
                <w:rFonts w:hint="eastAsia" w:ascii="仿宋" w:hAnsi="仿宋" w:eastAsia="仿宋" w:cs="Times New Roman"/>
                <w:szCs w:val="21"/>
                <w:lang w:eastAsia="zh-CN"/>
              </w:rPr>
              <w:t>该项目占地面积</w:t>
            </w:r>
            <w:r>
              <w:rPr>
                <w:rFonts w:hint="default" w:ascii="仿宋" w:hAnsi="仿宋" w:eastAsia="仿宋" w:cs="Times New Roman"/>
                <w:szCs w:val="21"/>
                <w:lang w:eastAsia="zh-CN"/>
              </w:rPr>
              <w:t>53333.6</w:t>
            </w:r>
            <w:r>
              <w:rPr>
                <w:rFonts w:hint="eastAsia" w:ascii="仿宋" w:hAnsi="仿宋" w:eastAsia="仿宋" w:cs="Times New Roman"/>
                <w:sz w:val="21"/>
                <w:szCs w:val="21"/>
                <w:vertAlign w:val="superscript"/>
                <w:lang w:eastAsia="zh-CN"/>
              </w:rPr>
              <w:t>m2</w:t>
            </w:r>
            <w:r>
              <w:rPr>
                <w:rFonts w:hint="eastAsia" w:ascii="仿宋" w:hAnsi="仿宋" w:eastAsia="仿宋" w:cs="Times New Roman"/>
                <w:szCs w:val="21"/>
                <w:lang w:eastAsia="zh-CN"/>
              </w:rPr>
              <w:t>，项目总投资</w:t>
            </w:r>
            <w:r>
              <w:rPr>
                <w:rFonts w:hint="eastAsia" w:ascii="仿宋" w:hAnsi="仿宋" w:eastAsia="仿宋" w:cs="Times New Roman"/>
                <w:szCs w:val="21"/>
                <w:lang w:val="en-US" w:eastAsia="zh-CN"/>
              </w:rPr>
              <w:t>150</w:t>
            </w:r>
            <w:r>
              <w:rPr>
                <w:rFonts w:hint="eastAsia" w:ascii="仿宋" w:hAnsi="仿宋" w:eastAsia="仿宋" w:cs="Times New Roman"/>
                <w:szCs w:val="21"/>
                <w:lang w:eastAsia="zh-CN"/>
              </w:rPr>
              <w:t>0万元，其中环保投资</w:t>
            </w:r>
            <w:r>
              <w:rPr>
                <w:rFonts w:hint="eastAsia" w:ascii="仿宋" w:hAnsi="仿宋" w:eastAsia="仿宋" w:cs="Times New Roman"/>
                <w:szCs w:val="21"/>
                <w:lang w:val="en-US" w:eastAsia="zh-CN"/>
              </w:rPr>
              <w:t>88.6</w:t>
            </w:r>
            <w:r>
              <w:rPr>
                <w:rFonts w:hint="eastAsia" w:ascii="仿宋" w:hAnsi="仿宋" w:eastAsia="仿宋" w:cs="Times New Roman"/>
                <w:szCs w:val="21"/>
                <w:lang w:eastAsia="zh-CN"/>
              </w:rPr>
              <w:t>万元。</w:t>
            </w:r>
          </w:p>
          <w:p>
            <w:pPr>
              <w:keepNext w:val="0"/>
              <w:keepLines w:val="0"/>
              <w:widowControl/>
              <w:suppressLineNumbers w:val="0"/>
              <w:ind w:firstLine="420" w:firstLineChars="200"/>
              <w:jc w:val="left"/>
              <w:rPr>
                <w:rFonts w:hint="eastAsia" w:ascii="仿宋" w:hAnsi="仿宋" w:eastAsia="仿宋" w:cs="Times New Roman"/>
                <w:szCs w:val="21"/>
                <w:lang w:eastAsia="zh-CN"/>
              </w:rPr>
            </w:pPr>
          </w:p>
          <w:p>
            <w:pPr>
              <w:keepNext w:val="0"/>
              <w:keepLines w:val="0"/>
              <w:widowControl/>
              <w:suppressLineNumbers w:val="0"/>
              <w:jc w:val="left"/>
              <w:rPr>
                <w:rFonts w:hint="eastAsia" w:ascii="仿宋" w:hAnsi="仿宋" w:eastAsia="仿宋" w:cs="Times New Roman"/>
                <w:szCs w:val="21"/>
                <w:lang w:eastAsia="zh-CN"/>
              </w:rPr>
            </w:pPr>
          </w:p>
        </w:tc>
        <w:tc>
          <w:tcPr>
            <w:tcW w:w="7013" w:type="dxa"/>
          </w:tcPr>
          <w:p>
            <w:pPr>
              <w:keepNext w:val="0"/>
              <w:keepLines w:val="0"/>
              <w:widowControl/>
              <w:suppressLineNumbers w:val="0"/>
              <w:jc w:val="left"/>
              <w:rPr>
                <w:rFonts w:hint="eastAsia" w:ascii="仿宋" w:hAnsi="仿宋" w:eastAsia="仿宋" w:cs="Times New Roman"/>
                <w:szCs w:val="21"/>
                <w:lang w:eastAsia="zh-CN"/>
              </w:rPr>
            </w:pPr>
            <w:r>
              <w:rPr>
                <w:rFonts w:hint="eastAsia" w:ascii="仿宋" w:hAnsi="仿宋" w:eastAsia="仿宋" w:cs="Times New Roman"/>
                <w:szCs w:val="21"/>
                <w:lang w:eastAsia="zh-CN"/>
              </w:rPr>
              <w:t>建设单位要认真落实施工期及运营期的各项污染控制及治理措施。重点做好以下工作：</w:t>
            </w:r>
          </w:p>
          <w:p>
            <w:pPr>
              <w:keepNext w:val="0"/>
              <w:keepLines w:val="0"/>
              <w:widowControl/>
              <w:suppressLineNumbers w:val="0"/>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eastAsia="zh-CN"/>
              </w:rPr>
              <w:t>（一）高度重视施工期环境管理工作。</w:t>
            </w:r>
            <w:r>
              <w:rPr>
                <w:rFonts w:hint="eastAsia" w:ascii="仿宋" w:hAnsi="仿宋" w:eastAsia="仿宋" w:cs="Times New Roman"/>
                <w:szCs w:val="21"/>
                <w:lang w:eastAsia="zh-CN"/>
              </w:rPr>
              <w:t>建设单位应严格按照《报告表》及本批复要求落实施工期废气、废水、固废、噪声等污染防治措施。优选低噪声设备，合理安排施工时间。设备安装过程中产生的包装固废收集外售，生活垃圾集中收集后由环卫部门送白银市生活垃圾焚烧发电厂处理。</w:t>
            </w:r>
            <w:r>
              <w:rPr>
                <w:rFonts w:hint="eastAsia" w:ascii="仿宋" w:hAnsi="仿宋" w:eastAsia="仿宋" w:cs="Times New Roman"/>
                <w:szCs w:val="21"/>
                <w:lang w:eastAsia="zh-CN"/>
              </w:rPr>
              <w:t>（二）运营期按《报告表》及本批复要求认真落实环保污染防治设施设备运行管理及各项污染防治治理措施。</w:t>
            </w:r>
          </w:p>
          <w:p>
            <w:pPr>
              <w:keepNext w:val="0"/>
              <w:keepLines w:val="0"/>
              <w:widowControl/>
              <w:suppressLineNumbers w:val="0"/>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eastAsia="zh-CN"/>
              </w:rPr>
              <w:t>1、落实大气污染防治措施。</w:t>
            </w:r>
            <w:r>
              <w:rPr>
                <w:rFonts w:hint="default" w:ascii="仿宋" w:hAnsi="仿宋" w:eastAsia="仿宋" w:cs="Times New Roman"/>
                <w:szCs w:val="21"/>
                <w:lang w:val="en-US" w:eastAsia="zh-CN"/>
              </w:rPr>
              <w:t>聚苯乙烯板加工产生的</w:t>
            </w:r>
            <w:r>
              <w:rPr>
                <w:rFonts w:hint="eastAsia" w:ascii="仿宋" w:hAnsi="仿宋" w:eastAsia="仿宋" w:cs="Times New Roman"/>
                <w:szCs w:val="21"/>
                <w:lang w:val="en-US" w:eastAsia="zh-CN"/>
              </w:rPr>
              <w:t>废气经集气罩+活性炭吸附+15米高的排气筒排放，</w:t>
            </w:r>
            <w:r>
              <w:rPr>
                <w:rFonts w:hint="eastAsia" w:ascii="仿宋" w:hAnsi="仿宋" w:eastAsia="仿宋" w:cs="Times New Roman"/>
                <w:szCs w:val="21"/>
                <w:lang w:eastAsia="zh-CN"/>
              </w:rPr>
              <w:t>满足</w:t>
            </w:r>
            <w:r>
              <w:rPr>
                <w:rFonts w:hint="default" w:ascii="仿宋" w:hAnsi="仿宋" w:eastAsia="仿宋" w:cs="Times New Roman"/>
                <w:szCs w:val="21"/>
                <w:lang w:eastAsia="zh-CN"/>
              </w:rPr>
              <w:t>《合成树脂工业污染物排放标准》（GB31572-2015）</w:t>
            </w:r>
            <w:r>
              <w:rPr>
                <w:rFonts w:hint="eastAsia" w:ascii="仿宋" w:hAnsi="仿宋" w:eastAsia="仿宋" w:cs="Times New Roman"/>
                <w:szCs w:val="21"/>
                <w:lang w:eastAsia="zh-CN"/>
              </w:rPr>
              <w:t>中污染物排放浓度限值要求。复合板生产产生的废气经</w:t>
            </w:r>
            <w:r>
              <w:rPr>
                <w:rFonts w:hint="eastAsia" w:ascii="仿宋" w:hAnsi="仿宋" w:eastAsia="仿宋" w:cs="Times New Roman"/>
                <w:szCs w:val="21"/>
                <w:lang w:val="en-US" w:eastAsia="zh-CN"/>
              </w:rPr>
              <w:t>集气罩+活性炭吸附+15米高的排气筒排放，满足</w:t>
            </w:r>
            <w:r>
              <w:rPr>
                <w:rFonts w:hint="default" w:ascii="仿宋" w:hAnsi="仿宋" w:eastAsia="仿宋" w:cs="Times New Roman"/>
                <w:szCs w:val="21"/>
                <w:lang w:val="en-US" w:eastAsia="zh-CN"/>
              </w:rPr>
              <w:t>《大气污染物综合排放标准》（GB16297-1996）</w:t>
            </w:r>
            <w:r>
              <w:rPr>
                <w:rFonts w:hint="eastAsia" w:ascii="仿宋" w:hAnsi="仿宋" w:eastAsia="仿宋" w:cs="Times New Roman"/>
                <w:szCs w:val="21"/>
                <w:lang w:val="en-US" w:eastAsia="zh-CN"/>
              </w:rPr>
              <w:t>表2污染物排放限值</w:t>
            </w:r>
            <w:r>
              <w:rPr>
                <w:rFonts w:hint="default" w:ascii="仿宋" w:hAnsi="仿宋" w:eastAsia="仿宋" w:cs="Times New Roman"/>
                <w:szCs w:val="21"/>
                <w:lang w:val="en-US" w:eastAsia="zh-CN"/>
              </w:rPr>
              <w:t>。抛光机</w:t>
            </w:r>
            <w:r>
              <w:rPr>
                <w:rFonts w:hint="eastAsia" w:ascii="仿宋" w:hAnsi="仿宋" w:eastAsia="仿宋" w:cs="Times New Roman"/>
                <w:szCs w:val="21"/>
                <w:lang w:val="en-US" w:eastAsia="zh-CN"/>
              </w:rPr>
              <w:t>产生的粉尘经</w:t>
            </w:r>
            <w:r>
              <w:rPr>
                <w:rFonts w:hint="default" w:ascii="仿宋" w:hAnsi="仿宋" w:eastAsia="仿宋" w:cs="Times New Roman"/>
                <w:szCs w:val="21"/>
                <w:lang w:val="en-US" w:eastAsia="zh-CN"/>
              </w:rPr>
              <w:t>自带</w:t>
            </w:r>
            <w:r>
              <w:rPr>
                <w:rFonts w:hint="eastAsia" w:ascii="仿宋" w:hAnsi="仿宋" w:eastAsia="仿宋" w:cs="Times New Roman"/>
                <w:szCs w:val="21"/>
                <w:lang w:val="en-US" w:eastAsia="zh-CN"/>
              </w:rPr>
              <w:t>双桶布袋吸尘机</w:t>
            </w:r>
            <w:r>
              <w:rPr>
                <w:rFonts w:hint="default" w:ascii="仿宋" w:hAnsi="仿宋" w:eastAsia="仿宋" w:cs="Times New Roman"/>
                <w:szCs w:val="21"/>
                <w:lang w:val="en-US" w:eastAsia="zh-CN"/>
              </w:rPr>
              <w:t>收集</w:t>
            </w:r>
            <w:r>
              <w:rPr>
                <w:rFonts w:hint="eastAsia" w:ascii="仿宋" w:hAnsi="仿宋" w:eastAsia="仿宋" w:cs="Times New Roman"/>
                <w:szCs w:val="21"/>
                <w:lang w:val="en-US" w:eastAsia="zh-CN"/>
              </w:rPr>
              <w:t>，</w:t>
            </w:r>
            <w:r>
              <w:rPr>
                <w:rFonts w:hint="default" w:ascii="仿宋" w:hAnsi="仿宋" w:eastAsia="仿宋" w:cs="Times New Roman"/>
                <w:szCs w:val="21"/>
                <w:lang w:val="en-US" w:eastAsia="zh-CN"/>
              </w:rPr>
              <w:t>食堂油烟</w:t>
            </w:r>
            <w:r>
              <w:rPr>
                <w:rFonts w:hint="eastAsia" w:ascii="仿宋" w:hAnsi="仿宋" w:eastAsia="仿宋" w:cs="Times New Roman"/>
                <w:szCs w:val="21"/>
                <w:lang w:val="en-US" w:eastAsia="zh-CN"/>
              </w:rPr>
              <w:t>经油烟</w:t>
            </w:r>
            <w:r>
              <w:rPr>
                <w:rFonts w:hint="default" w:ascii="仿宋" w:hAnsi="仿宋" w:eastAsia="仿宋" w:cs="Times New Roman"/>
                <w:szCs w:val="21"/>
                <w:lang w:val="en-US" w:eastAsia="zh-CN"/>
              </w:rPr>
              <w:t>净化装置</w:t>
            </w:r>
            <w:r>
              <w:rPr>
                <w:rFonts w:hint="eastAsia" w:ascii="仿宋" w:hAnsi="仿宋" w:eastAsia="仿宋" w:cs="Times New Roman"/>
                <w:szCs w:val="21"/>
                <w:lang w:val="en-US" w:eastAsia="zh-CN"/>
              </w:rPr>
              <w:t>处置后排放。天然气锅炉废气经10米高的排气筒排放，满足</w:t>
            </w:r>
            <w:r>
              <w:rPr>
                <w:rFonts w:hint="default" w:ascii="仿宋" w:hAnsi="仿宋" w:eastAsia="仿宋" w:cs="Times New Roman"/>
                <w:szCs w:val="21"/>
                <w:lang w:eastAsia="zh-CN"/>
              </w:rPr>
              <w:t>《锅炉大气污染物排放标准》（GB13271-2014）中新建锅炉标准</w:t>
            </w:r>
            <w:r>
              <w:rPr>
                <w:rFonts w:hint="eastAsia" w:ascii="仿宋" w:hAnsi="仿宋" w:eastAsia="仿宋" w:cs="Times New Roman"/>
                <w:szCs w:val="21"/>
                <w:lang w:val="en-US" w:eastAsia="zh-CN"/>
              </w:rPr>
              <w:t>。1、2号车间各安装8个排风扇,厂界满足</w:t>
            </w:r>
            <w:r>
              <w:rPr>
                <w:rFonts w:hint="default" w:ascii="仿宋" w:hAnsi="仿宋" w:eastAsia="仿宋" w:cs="Times New Roman"/>
                <w:szCs w:val="21"/>
                <w:lang w:eastAsia="zh-CN"/>
              </w:rPr>
              <w:t>《合成树脂工业污染物排放标准》（GB31572-2015）</w:t>
            </w:r>
            <w:r>
              <w:rPr>
                <w:rFonts w:hint="eastAsia" w:ascii="仿宋" w:hAnsi="仿宋" w:eastAsia="仿宋" w:cs="Times New Roman"/>
                <w:szCs w:val="21"/>
                <w:lang w:eastAsia="zh-CN"/>
              </w:rPr>
              <w:t>表</w:t>
            </w:r>
            <w:r>
              <w:rPr>
                <w:rFonts w:hint="eastAsia" w:ascii="仿宋" w:hAnsi="仿宋" w:eastAsia="仿宋" w:cs="Times New Roman"/>
                <w:szCs w:val="21"/>
                <w:lang w:val="en-US" w:eastAsia="zh-CN"/>
              </w:rPr>
              <w:t>9中企业边界大气污染物排放标准限值</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《大气污染物综合排放标准》（GB16297-1996）中无组织排放标准。</w:t>
            </w:r>
          </w:p>
          <w:p>
            <w:pPr>
              <w:keepNext w:val="0"/>
              <w:keepLines w:val="0"/>
              <w:widowControl/>
              <w:suppressLineNumbers w:val="0"/>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eastAsia="zh-CN"/>
              </w:rPr>
              <w:t>2、落实废水污</w:t>
            </w:r>
            <w:bookmarkStart w:id="0" w:name="_GoBack"/>
            <w:bookmarkEnd w:id="0"/>
            <w:r>
              <w:rPr>
                <w:rFonts w:hint="eastAsia" w:ascii="仿宋" w:hAnsi="仿宋" w:eastAsia="仿宋" w:cs="Times New Roman"/>
                <w:szCs w:val="21"/>
                <w:lang w:eastAsia="zh-CN"/>
              </w:rPr>
              <w:t>染防治措施。冷却水循环使用</w:t>
            </w:r>
            <w:r>
              <w:rPr>
                <w:rFonts w:hint="eastAsia" w:ascii="仿宋" w:hAnsi="仿宋" w:eastAsia="仿宋" w:cs="Times New Roman"/>
                <w:szCs w:val="21"/>
                <w:lang w:val="en-US" w:eastAsia="zh-CN"/>
              </w:rPr>
              <w:t>,不外排。</w:t>
            </w:r>
            <w:r>
              <w:rPr>
                <w:rFonts w:hint="eastAsia" w:ascii="仿宋" w:hAnsi="仿宋" w:eastAsia="仿宋" w:cs="Times New Roman"/>
                <w:szCs w:val="21"/>
                <w:lang w:eastAsia="zh-CN"/>
              </w:rPr>
              <w:t>生活废水经隔油池、化粪池处理后与</w:t>
            </w:r>
            <w:r>
              <w:rPr>
                <w:rFonts w:hint="eastAsia" w:ascii="仿宋" w:hAnsi="仿宋" w:eastAsia="仿宋" w:cs="Times New Roman"/>
                <w:szCs w:val="21"/>
                <w:lang w:val="en-US" w:eastAsia="zh-CN"/>
              </w:rPr>
              <w:t>锅炉排水</w:t>
            </w:r>
            <w:r>
              <w:rPr>
                <w:rFonts w:hint="eastAsia" w:ascii="仿宋" w:hAnsi="仿宋" w:eastAsia="仿宋" w:cs="Times New Roman"/>
                <w:szCs w:val="21"/>
                <w:lang w:eastAsia="zh-CN"/>
              </w:rPr>
              <w:t>排入市政污水管网。</w:t>
            </w:r>
          </w:p>
          <w:p>
            <w:pPr>
              <w:keepNext w:val="0"/>
              <w:keepLines w:val="0"/>
              <w:widowControl/>
              <w:suppressLineNumbers w:val="0"/>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eastAsia="zh-CN"/>
              </w:rPr>
              <w:t>3、落实固体废物处置措施。按照“减量化、无害化、资源化”的原则，做好固体废弃物的处置。废边角料回用于生产，废水性涂料桶、废水性聚氨酯胶桶集中收集外售物资公司，除尘灰和生活垃圾集中收集后由环卫部门送白银市生活垃圾焚烧发电厂焚烧处理。废机油、废活性炭属于危险废物，暂存在危废暂存间，定期委托有资质的单位处置，危废暂存间应按照相关要求建设，并严格按照危险废物规范化管理要求加强危险废物管理。</w:t>
            </w:r>
          </w:p>
          <w:p>
            <w:pPr>
              <w:keepNext w:val="0"/>
              <w:keepLines w:val="0"/>
              <w:widowControl/>
              <w:suppressLineNumbers w:val="0"/>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eastAsia="zh-CN"/>
              </w:rPr>
              <w:t>4、严格落实噪声污染防治措施。优先采用低噪声设备，噪声设备采用基础减振，建筑隔声，确保厂界噪声达到《工业企业厂界环境噪声排放标准》（GB12348-2008）</w:t>
            </w:r>
            <w:r>
              <w:rPr>
                <w:rFonts w:hint="eastAsia" w:ascii="仿宋" w:hAnsi="仿宋" w:eastAsia="仿宋" w:cs="Times New Roman"/>
                <w:szCs w:val="21"/>
                <w:lang w:val="en-US" w:eastAsia="zh-CN"/>
              </w:rPr>
              <w:t>3</w:t>
            </w:r>
            <w:r>
              <w:rPr>
                <w:rFonts w:hint="eastAsia" w:ascii="仿宋" w:hAnsi="仿宋" w:eastAsia="仿宋" w:cs="Times New Roman"/>
                <w:szCs w:val="21"/>
                <w:lang w:eastAsia="zh-CN"/>
              </w:rPr>
              <w:t>类标准限值要求。</w:t>
            </w:r>
          </w:p>
          <w:p>
            <w:pPr>
              <w:keepNext w:val="0"/>
              <w:keepLines w:val="0"/>
              <w:widowControl/>
              <w:suppressLineNumbers w:val="0"/>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eastAsia="zh-CN"/>
              </w:rPr>
              <w:t xml:space="preserve"> 5、落实各项环境风险防范措施和应急措施。制定突发环境事件应急预案，加强环境应急演练和职工环保安全宣传教育。落实环境风险防范措施，储备环境应急物资，确保环境安全。    </w:t>
            </w:r>
          </w:p>
          <w:p>
            <w:pPr>
              <w:keepNext w:val="0"/>
              <w:keepLines w:val="0"/>
              <w:widowControl/>
              <w:suppressLineNumbers w:val="0"/>
              <w:ind w:firstLine="420" w:firstLineChars="200"/>
              <w:jc w:val="left"/>
              <w:rPr>
                <w:rFonts w:hint="eastAsia" w:ascii="仿宋" w:hAnsi="仿宋" w:eastAsia="仿宋" w:cs="Times New Roman"/>
                <w:szCs w:val="21"/>
                <w:lang w:eastAsia="zh-CN"/>
              </w:rPr>
            </w:pPr>
          </w:p>
        </w:tc>
        <w:tc>
          <w:tcPr>
            <w:tcW w:w="523" w:type="dxa"/>
          </w:tcPr>
          <w:p>
            <w:pPr>
              <w:ind w:firstLine="420" w:firstLineChars="200"/>
              <w:rPr>
                <w:rFonts w:hint="eastAsia" w:ascii="仿宋" w:hAnsi="仿宋" w:eastAsia="仿宋"/>
                <w:szCs w:val="21"/>
                <w:lang w:eastAsia="zh-CN"/>
              </w:rPr>
            </w:pPr>
          </w:p>
          <w:p>
            <w:pPr>
              <w:ind w:firstLine="420" w:firstLineChars="200"/>
              <w:rPr>
                <w:rFonts w:hint="eastAsia" w:ascii="仿宋" w:hAnsi="仿宋" w:eastAsia="仿宋"/>
                <w:szCs w:val="21"/>
                <w:lang w:eastAsia="zh-CN"/>
              </w:rPr>
            </w:pPr>
          </w:p>
          <w:p>
            <w:pPr>
              <w:ind w:firstLine="420" w:firstLineChars="200"/>
              <w:rPr>
                <w:rFonts w:hint="eastAsia" w:ascii="仿宋" w:hAnsi="仿宋" w:eastAsia="仿宋"/>
                <w:szCs w:val="21"/>
                <w:lang w:eastAsia="zh-CN"/>
              </w:rPr>
            </w:pPr>
            <w:r>
              <w:rPr>
                <w:rFonts w:hint="eastAsia" w:ascii="仿宋" w:hAnsi="仿宋" w:eastAsia="仿宋"/>
                <w:szCs w:val="21"/>
                <w:lang w:eastAsia="zh-CN"/>
              </w:rPr>
              <w:t>1</w:t>
            </w:r>
          </w:p>
          <w:p>
            <w:pPr>
              <w:ind w:firstLine="420" w:firstLineChars="200"/>
              <w:rPr>
                <w:rFonts w:hint="default" w:ascii="仿宋" w:hAnsi="仿宋" w:eastAsia="仿宋"/>
                <w:szCs w:val="21"/>
                <w:lang w:val="en-US" w:eastAsia="zh-CN"/>
              </w:rPr>
            </w:pPr>
            <w:r>
              <w:rPr>
                <w:rFonts w:hint="eastAsia" w:ascii="仿宋" w:hAnsi="仿宋" w:eastAsia="仿宋"/>
                <w:szCs w:val="21"/>
                <w:lang w:eastAsia="zh-CN"/>
              </w:rPr>
              <w:t>1</w:t>
            </w:r>
            <w:r>
              <w:rPr>
                <w:rFonts w:hint="eastAsia" w:ascii="仿宋" w:hAnsi="仿宋" w:eastAsia="仿宋"/>
                <w:szCs w:val="21"/>
                <w:lang w:val="en-US" w:eastAsia="zh-CN"/>
              </w:rPr>
              <w:t>13919415555</w:t>
            </w:r>
          </w:p>
          <w:p>
            <w:pPr>
              <w:ind w:firstLine="420" w:firstLineChars="200"/>
              <w:rPr>
                <w:rFonts w:hint="eastAsia" w:ascii="仿宋" w:hAnsi="仿宋" w:eastAsia="仿宋"/>
                <w:szCs w:val="21"/>
                <w:lang w:eastAsia="zh-CN"/>
              </w:rPr>
            </w:pPr>
            <w:r>
              <w:rPr>
                <w:rFonts w:hint="eastAsia" w:ascii="仿宋" w:hAnsi="仿宋" w:eastAsia="仿宋"/>
                <w:szCs w:val="21"/>
                <w:lang w:eastAsia="zh-CN"/>
              </w:rPr>
              <w:t>1</w:t>
            </w:r>
          </w:p>
        </w:tc>
      </w:tr>
    </w:tbl>
    <w:p>
      <w:pPr>
        <w:pStyle w:val="5"/>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D1229"/>
    <w:rsid w:val="00752594"/>
    <w:rsid w:val="008542D6"/>
    <w:rsid w:val="00F12EEB"/>
    <w:rsid w:val="038A3C7E"/>
    <w:rsid w:val="0448371A"/>
    <w:rsid w:val="05861CF0"/>
    <w:rsid w:val="05C361BC"/>
    <w:rsid w:val="068C2F89"/>
    <w:rsid w:val="07515C8F"/>
    <w:rsid w:val="07D94CEF"/>
    <w:rsid w:val="08B53EA9"/>
    <w:rsid w:val="09B9577F"/>
    <w:rsid w:val="0B2030CC"/>
    <w:rsid w:val="0B8A3406"/>
    <w:rsid w:val="0BDC5D38"/>
    <w:rsid w:val="0D003941"/>
    <w:rsid w:val="0DF079E2"/>
    <w:rsid w:val="0E233215"/>
    <w:rsid w:val="0E9706D8"/>
    <w:rsid w:val="101062FE"/>
    <w:rsid w:val="101844AD"/>
    <w:rsid w:val="12026F04"/>
    <w:rsid w:val="12430D80"/>
    <w:rsid w:val="12D03F35"/>
    <w:rsid w:val="13B80F74"/>
    <w:rsid w:val="14BC2C1D"/>
    <w:rsid w:val="15FE3DAF"/>
    <w:rsid w:val="161F1099"/>
    <w:rsid w:val="16262395"/>
    <w:rsid w:val="16436BDF"/>
    <w:rsid w:val="172976D8"/>
    <w:rsid w:val="196C5B71"/>
    <w:rsid w:val="197D51C5"/>
    <w:rsid w:val="1A087810"/>
    <w:rsid w:val="1B21329C"/>
    <w:rsid w:val="1B2209B3"/>
    <w:rsid w:val="1C7C45D2"/>
    <w:rsid w:val="1D432D85"/>
    <w:rsid w:val="1FDA6F75"/>
    <w:rsid w:val="21AA6793"/>
    <w:rsid w:val="224A6C9A"/>
    <w:rsid w:val="22574234"/>
    <w:rsid w:val="22CD1229"/>
    <w:rsid w:val="233411DF"/>
    <w:rsid w:val="24C55B07"/>
    <w:rsid w:val="2557411B"/>
    <w:rsid w:val="257F0791"/>
    <w:rsid w:val="294D3040"/>
    <w:rsid w:val="2A147CD0"/>
    <w:rsid w:val="2BEB31D3"/>
    <w:rsid w:val="2D855175"/>
    <w:rsid w:val="2DBF3F83"/>
    <w:rsid w:val="2F696B3A"/>
    <w:rsid w:val="3135797B"/>
    <w:rsid w:val="31BA6B9A"/>
    <w:rsid w:val="35F264B8"/>
    <w:rsid w:val="3B551422"/>
    <w:rsid w:val="3D6C47D3"/>
    <w:rsid w:val="3F495385"/>
    <w:rsid w:val="43B2539A"/>
    <w:rsid w:val="47E1297C"/>
    <w:rsid w:val="4AA62F1F"/>
    <w:rsid w:val="4B06194F"/>
    <w:rsid w:val="4C5518BB"/>
    <w:rsid w:val="4D16239A"/>
    <w:rsid w:val="4FE034F7"/>
    <w:rsid w:val="4FF21FB1"/>
    <w:rsid w:val="50026B19"/>
    <w:rsid w:val="507D2D95"/>
    <w:rsid w:val="50F77DC2"/>
    <w:rsid w:val="51B05CD6"/>
    <w:rsid w:val="57D14A54"/>
    <w:rsid w:val="57E1661C"/>
    <w:rsid w:val="599B711A"/>
    <w:rsid w:val="5DB31A97"/>
    <w:rsid w:val="61CF28A6"/>
    <w:rsid w:val="698C66A3"/>
    <w:rsid w:val="6A867D65"/>
    <w:rsid w:val="6B6D237A"/>
    <w:rsid w:val="6BC82799"/>
    <w:rsid w:val="6D535020"/>
    <w:rsid w:val="6D834C6D"/>
    <w:rsid w:val="6DA63C72"/>
    <w:rsid w:val="6DAC7C7C"/>
    <w:rsid w:val="6E043C23"/>
    <w:rsid w:val="6E5C2A4F"/>
    <w:rsid w:val="6F5551C3"/>
    <w:rsid w:val="6FC2572C"/>
    <w:rsid w:val="6FDE77DB"/>
    <w:rsid w:val="70BD6E08"/>
    <w:rsid w:val="71555327"/>
    <w:rsid w:val="71BE7475"/>
    <w:rsid w:val="73282987"/>
    <w:rsid w:val="737B13B0"/>
    <w:rsid w:val="744B2021"/>
    <w:rsid w:val="753F3810"/>
    <w:rsid w:val="755B1E70"/>
    <w:rsid w:val="7D361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iPriority w:val="0"/>
    <w:pPr>
      <w:tabs>
        <w:tab w:val="left" w:pos="-213"/>
      </w:tabs>
      <w:spacing w:after="120" w:afterLines="0" w:afterAutospacing="0" w:line="240" w:lineRule="auto"/>
      <w:ind w:left="420" w:leftChars="200" w:firstLine="420" w:firstLineChars="200"/>
    </w:pPr>
    <w:rPr>
      <w:sz w:val="21"/>
    </w:rPr>
  </w:style>
  <w:style w:type="paragraph" w:styleId="3">
    <w:name w:val="Body Text Indent"/>
    <w:basedOn w:val="1"/>
    <w:next w:val="1"/>
    <w:qFormat/>
    <w:uiPriority w:val="0"/>
    <w:pPr>
      <w:adjustRightInd w:val="0"/>
      <w:spacing w:after="120"/>
      <w:ind w:left="420" w:leftChars="200"/>
      <w:textAlignment w:val="baseline"/>
    </w:pPr>
    <w:rPr>
      <w:szCs w:val="20"/>
    </w:rPr>
  </w:style>
  <w:style w:type="paragraph" w:styleId="6">
    <w:name w:val="Normal Indent"/>
    <w:basedOn w:val="1"/>
    <w:next w:val="2"/>
    <w:qFormat/>
    <w:uiPriority w:val="0"/>
    <w:pPr>
      <w:ind w:firstLine="420"/>
    </w:pPr>
    <w:rPr>
      <w:szCs w:val="20"/>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样式 正文缩进正文缩进2正文缩进 Char Char正文缩进 Char Char Char Char正文缩进 Char ..."/>
    <w:basedOn w:val="6"/>
    <w:qFormat/>
    <w:uiPriority w:val="0"/>
    <w:pPr>
      <w:spacing w:line="360" w:lineRule="auto"/>
      <w:ind w:firstLine="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4\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213</Words>
  <Characters>1219</Characters>
  <Lines>10</Lines>
  <Paragraphs>2</Paragraphs>
  <TotalTime>1</TotalTime>
  <ScaleCrop>false</ScaleCrop>
  <LinksUpToDate>false</LinksUpToDate>
  <CharactersWithSpaces>1430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2018-07-12T08:27:00Z</dcterms:created>
  <dc:creator>Administrator</dc:creator>
  <cp:lastModifiedBy>Administrator</cp:lastModifiedBy>
  <cp:lastPrinted>2021-04-07T02:51:00Z</cp:lastPrinted>
  <dcterms:modified xsi:type="dcterms:W3CDTF">2021-06-07T02:09:27Z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0D0C2EA972914C9FBC0085F272AC5AA5</vt:lpwstr>
  </property>
</Properties>
</file>