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方正小标宋简体" w:hAnsi="仿宋_GB2312" w:eastAsia="仿宋_GB2312" w:cs="仿宋_GB2312"/>
          <w:sz w:val="35"/>
          <w:szCs w:val="32"/>
          <w:lang w:val="zh-CN" w:eastAsia="zh-CN" w:bidi="zh-CN"/>
        </w:rPr>
        <w:sectPr>
          <w:footerReference r:id="rId5" w:type="default"/>
          <w:pgSz w:w="11910" w:h="16840"/>
          <w:pgMar w:top="2098" w:right="1531" w:bottom="1928" w:left="1531" w:header="0" w:footer="1031" w:gutter="0"/>
          <w:pgNumType w:fmt="numberInDash"/>
          <w:cols w:space="720" w:num="1"/>
        </w:sectPr>
      </w:pPr>
      <w:bookmarkStart w:id="0" w:name="_GoBack"/>
      <w:bookmarkEnd w:id="0"/>
    </w:p>
    <w:p>
      <w:pPr>
        <w:pStyle w:val="4"/>
        <w:spacing w:before="139" w:line="720" w:lineRule="auto"/>
        <w:ind w:left="0" w:leftChars="0" w:firstLine="0" w:firstLineChars="0"/>
        <w:jc w:val="center"/>
      </w:pPr>
      <w:r>
        <w:t>白银市司法局“过筛子、查漏洞、补短板、促提升”任务分解表</w:t>
      </w:r>
    </w:p>
    <w:tbl>
      <w:tblPr>
        <w:tblStyle w:val="8"/>
        <w:tblpPr w:leftFromText="180" w:rightFromText="180" w:vertAnchor="text" w:horzAnchor="page" w:tblpX="1658" w:tblpY="40"/>
        <w:tblOverlap w:val="never"/>
        <w:tblW w:w="1434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20"/>
        <w:gridCol w:w="2865"/>
        <w:gridCol w:w="6105"/>
        <w:gridCol w:w="1260"/>
        <w:gridCol w:w="1200"/>
        <w:gridCol w:w="10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2" w:hRule="atLeast"/>
        </w:trPr>
        <w:tc>
          <w:tcPr>
            <w:tcW w:w="1820" w:type="dxa"/>
          </w:tcPr>
          <w:p>
            <w:pPr>
              <w:pStyle w:val="11"/>
              <w:spacing w:before="16"/>
              <w:rPr>
                <w:rFonts w:ascii="方正小标宋简体"/>
                <w:sz w:val="10"/>
              </w:rPr>
            </w:pPr>
          </w:p>
          <w:p>
            <w:pPr>
              <w:pStyle w:val="11"/>
              <w:ind w:left="498"/>
              <w:rPr>
                <w:rFonts w:hint="eastAsia" w:ascii="黑体" w:eastAsia="黑体"/>
                <w:sz w:val="21"/>
              </w:rPr>
            </w:pPr>
            <w:r>
              <w:rPr>
                <w:rFonts w:hint="eastAsia" w:ascii="黑体" w:eastAsia="黑体"/>
                <w:sz w:val="21"/>
              </w:rPr>
              <w:t>重点任务</w:t>
            </w:r>
          </w:p>
        </w:tc>
        <w:tc>
          <w:tcPr>
            <w:tcW w:w="2865" w:type="dxa"/>
          </w:tcPr>
          <w:p>
            <w:pPr>
              <w:pStyle w:val="11"/>
              <w:spacing w:before="16"/>
              <w:rPr>
                <w:rFonts w:ascii="方正小标宋简体"/>
                <w:sz w:val="10"/>
              </w:rPr>
            </w:pPr>
          </w:p>
          <w:p>
            <w:pPr>
              <w:pStyle w:val="11"/>
              <w:ind w:left="974" w:right="968"/>
              <w:jc w:val="center"/>
              <w:rPr>
                <w:rFonts w:hint="eastAsia" w:ascii="黑体" w:eastAsia="黑体"/>
                <w:sz w:val="21"/>
              </w:rPr>
            </w:pPr>
            <w:r>
              <w:rPr>
                <w:rFonts w:hint="eastAsia" w:ascii="黑体" w:eastAsia="黑体"/>
                <w:sz w:val="21"/>
              </w:rPr>
              <w:t>工作内容</w:t>
            </w:r>
          </w:p>
        </w:tc>
        <w:tc>
          <w:tcPr>
            <w:tcW w:w="6105" w:type="dxa"/>
          </w:tcPr>
          <w:p>
            <w:pPr>
              <w:pStyle w:val="11"/>
              <w:spacing w:before="16"/>
              <w:rPr>
                <w:rFonts w:ascii="方正小标宋简体"/>
                <w:sz w:val="10"/>
              </w:rPr>
            </w:pPr>
          </w:p>
          <w:p>
            <w:pPr>
              <w:pStyle w:val="11"/>
              <w:ind w:left="2536" w:right="2528"/>
              <w:jc w:val="center"/>
              <w:rPr>
                <w:rFonts w:hint="eastAsia" w:ascii="黑体" w:eastAsia="黑体"/>
                <w:sz w:val="21"/>
              </w:rPr>
            </w:pPr>
            <w:r>
              <w:rPr>
                <w:rFonts w:hint="eastAsia" w:ascii="黑体" w:eastAsia="黑体"/>
                <w:sz w:val="21"/>
              </w:rPr>
              <w:t>推进措施</w:t>
            </w:r>
          </w:p>
        </w:tc>
        <w:tc>
          <w:tcPr>
            <w:tcW w:w="1260" w:type="dxa"/>
          </w:tcPr>
          <w:p>
            <w:pPr>
              <w:pStyle w:val="11"/>
              <w:spacing w:before="16"/>
              <w:rPr>
                <w:rFonts w:ascii="方正小标宋简体"/>
                <w:sz w:val="10"/>
              </w:rPr>
            </w:pPr>
          </w:p>
          <w:p>
            <w:pPr>
              <w:pStyle w:val="11"/>
              <w:ind w:left="196" w:right="189"/>
              <w:jc w:val="center"/>
              <w:rPr>
                <w:rFonts w:hint="eastAsia" w:ascii="黑体" w:eastAsia="黑体"/>
                <w:sz w:val="21"/>
              </w:rPr>
            </w:pPr>
            <w:r>
              <w:rPr>
                <w:rFonts w:hint="eastAsia" w:ascii="黑体" w:eastAsia="黑体"/>
                <w:sz w:val="21"/>
              </w:rPr>
              <w:t>责任领导</w:t>
            </w:r>
          </w:p>
        </w:tc>
        <w:tc>
          <w:tcPr>
            <w:tcW w:w="1200" w:type="dxa"/>
          </w:tcPr>
          <w:p>
            <w:pPr>
              <w:pStyle w:val="11"/>
              <w:spacing w:before="16"/>
              <w:rPr>
                <w:rFonts w:ascii="方正小标宋简体"/>
                <w:sz w:val="10"/>
              </w:rPr>
            </w:pPr>
          </w:p>
          <w:p>
            <w:pPr>
              <w:pStyle w:val="11"/>
              <w:ind w:left="163" w:right="157"/>
              <w:jc w:val="center"/>
              <w:rPr>
                <w:rFonts w:hint="eastAsia" w:ascii="黑体" w:eastAsia="黑体"/>
                <w:sz w:val="21"/>
              </w:rPr>
            </w:pPr>
            <w:r>
              <w:rPr>
                <w:rFonts w:hint="eastAsia" w:ascii="黑体" w:eastAsia="黑体"/>
                <w:sz w:val="21"/>
              </w:rPr>
              <w:t>责任科室</w:t>
            </w:r>
          </w:p>
        </w:tc>
        <w:tc>
          <w:tcPr>
            <w:tcW w:w="1095" w:type="dxa"/>
          </w:tcPr>
          <w:p>
            <w:pPr>
              <w:pStyle w:val="11"/>
              <w:spacing w:before="16"/>
              <w:rPr>
                <w:rFonts w:ascii="方正小标宋简体"/>
                <w:sz w:val="10"/>
              </w:rPr>
            </w:pPr>
          </w:p>
          <w:p>
            <w:pPr>
              <w:pStyle w:val="11"/>
              <w:ind w:left="125" w:right="119"/>
              <w:jc w:val="center"/>
              <w:rPr>
                <w:rFonts w:hint="eastAsia" w:ascii="黑体" w:eastAsia="黑体"/>
                <w:sz w:val="21"/>
              </w:rPr>
            </w:pPr>
            <w:r>
              <w:rPr>
                <w:rFonts w:hint="eastAsia" w:ascii="黑体" w:eastAsia="黑体"/>
                <w:sz w:val="21"/>
              </w:rPr>
              <w:t>完成时限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3" w:hRule="atLeast"/>
        </w:trPr>
        <w:tc>
          <w:tcPr>
            <w:tcW w:w="1820" w:type="dxa"/>
            <w:vMerge w:val="restart"/>
          </w:tcPr>
          <w:p>
            <w:pPr>
              <w:pStyle w:val="11"/>
              <w:rPr>
                <w:rFonts w:ascii="方正小标宋简体"/>
                <w:sz w:val="20"/>
              </w:rPr>
            </w:pPr>
          </w:p>
          <w:p>
            <w:pPr>
              <w:pStyle w:val="11"/>
              <w:rPr>
                <w:rFonts w:ascii="方正小标宋简体"/>
                <w:sz w:val="20"/>
              </w:rPr>
            </w:pPr>
          </w:p>
          <w:p>
            <w:pPr>
              <w:pStyle w:val="11"/>
              <w:rPr>
                <w:rFonts w:ascii="方正小标宋简体"/>
                <w:sz w:val="20"/>
              </w:rPr>
            </w:pPr>
          </w:p>
          <w:p>
            <w:pPr>
              <w:pStyle w:val="11"/>
              <w:spacing w:before="13"/>
              <w:rPr>
                <w:rFonts w:ascii="方正小标宋简体"/>
                <w:sz w:val="15"/>
              </w:rPr>
            </w:pPr>
          </w:p>
          <w:p>
            <w:pPr>
              <w:pStyle w:val="11"/>
              <w:ind w:left="287"/>
              <w:rPr>
                <w:rFonts w:hint="eastAsia" w:ascii="楷体_GB2312" w:eastAsia="楷体_GB2312"/>
                <w:sz w:val="21"/>
              </w:rPr>
            </w:pPr>
          </w:p>
          <w:p>
            <w:pPr>
              <w:pStyle w:val="11"/>
              <w:ind w:left="287"/>
              <w:rPr>
                <w:rFonts w:hint="eastAsia" w:ascii="楷体_GB2312" w:eastAsia="楷体_GB2312"/>
                <w:sz w:val="21"/>
              </w:rPr>
            </w:pPr>
          </w:p>
          <w:p>
            <w:pPr>
              <w:pStyle w:val="11"/>
              <w:ind w:left="287"/>
              <w:rPr>
                <w:rFonts w:hint="eastAsia" w:ascii="楷体_GB2312" w:eastAsia="楷体_GB2312"/>
                <w:sz w:val="21"/>
              </w:rPr>
            </w:pPr>
          </w:p>
          <w:p>
            <w:pPr>
              <w:pStyle w:val="11"/>
              <w:ind w:left="287"/>
              <w:rPr>
                <w:rFonts w:hint="eastAsia" w:ascii="楷体_GB2312" w:eastAsia="楷体_GB2312"/>
                <w:sz w:val="21"/>
              </w:rPr>
            </w:pPr>
          </w:p>
          <w:p>
            <w:pPr>
              <w:pStyle w:val="11"/>
              <w:ind w:left="287"/>
              <w:rPr>
                <w:rFonts w:hint="eastAsia" w:ascii="楷体_GB2312" w:eastAsia="楷体_GB2312"/>
                <w:sz w:val="21"/>
              </w:rPr>
            </w:pPr>
            <w:r>
              <w:rPr>
                <w:rFonts w:hint="eastAsia" w:ascii="楷体_GB2312" w:eastAsia="楷体_GB2312"/>
                <w:sz w:val="21"/>
              </w:rPr>
              <w:t>学习宣传教育</w:t>
            </w:r>
          </w:p>
        </w:tc>
        <w:tc>
          <w:tcPr>
            <w:tcW w:w="2865" w:type="dxa"/>
          </w:tcPr>
          <w:p>
            <w:pPr>
              <w:pStyle w:val="11"/>
              <w:spacing w:before="15" w:line="242" w:lineRule="auto"/>
              <w:ind w:left="103" w:right="195"/>
              <w:jc w:val="both"/>
              <w:rPr>
                <w:sz w:val="21"/>
              </w:rPr>
            </w:pPr>
          </w:p>
          <w:p>
            <w:pPr>
              <w:pStyle w:val="11"/>
              <w:spacing w:before="15" w:line="242" w:lineRule="auto"/>
              <w:ind w:left="103" w:right="195"/>
              <w:jc w:val="both"/>
              <w:rPr>
                <w:sz w:val="21"/>
              </w:rPr>
            </w:pPr>
            <w:r>
              <w:rPr>
                <w:sz w:val="21"/>
              </w:rPr>
              <w:t>1.学习习近平总书记关于安全生产重要论述及安保维稳和安全生产相关文件和会议</w:t>
            </w:r>
          </w:p>
          <w:p>
            <w:pPr>
              <w:pStyle w:val="11"/>
              <w:spacing w:before="1" w:line="264" w:lineRule="exact"/>
              <w:ind w:left="103"/>
              <w:rPr>
                <w:sz w:val="21"/>
              </w:rPr>
            </w:pPr>
            <w:r>
              <w:rPr>
                <w:sz w:val="21"/>
              </w:rPr>
              <w:t>精神</w:t>
            </w:r>
          </w:p>
        </w:tc>
        <w:tc>
          <w:tcPr>
            <w:tcW w:w="6105" w:type="dxa"/>
          </w:tcPr>
          <w:p>
            <w:pPr>
              <w:pStyle w:val="11"/>
              <w:spacing w:before="150" w:line="242" w:lineRule="auto"/>
              <w:ind w:left="107" w:right="158"/>
              <w:rPr>
                <w:sz w:val="21"/>
              </w:rPr>
            </w:pPr>
          </w:p>
          <w:p>
            <w:pPr>
              <w:pStyle w:val="11"/>
              <w:spacing w:before="150" w:line="242" w:lineRule="auto"/>
              <w:ind w:left="107" w:right="158"/>
              <w:rPr>
                <w:sz w:val="21"/>
              </w:rPr>
            </w:pPr>
            <w:r>
              <w:rPr>
                <w:sz w:val="21"/>
              </w:rPr>
              <w:t>组织召开安全生产专题学习会议，学习习近平总书记关于安全生产重要论述,在每周一的集体学习中及时传达学习有关安保维稳和安全生产方面的文件和会议精神。</w:t>
            </w:r>
          </w:p>
        </w:tc>
        <w:tc>
          <w:tcPr>
            <w:tcW w:w="1260" w:type="dxa"/>
            <w:vAlign w:val="top"/>
          </w:tcPr>
          <w:p>
            <w:pPr>
              <w:pStyle w:val="11"/>
              <w:spacing w:before="9"/>
              <w:rPr>
                <w:rFonts w:ascii="方正小标宋简体"/>
                <w:sz w:val="20"/>
              </w:rPr>
            </w:pPr>
          </w:p>
          <w:p>
            <w:pPr>
              <w:pStyle w:val="11"/>
              <w:ind w:left="196" w:leftChars="0" w:right="186" w:rightChars="0"/>
              <w:jc w:val="center"/>
              <w:rPr>
                <w:rFonts w:hint="eastAsia"/>
                <w:sz w:val="21"/>
                <w:lang w:eastAsia="zh-CN"/>
              </w:rPr>
            </w:pPr>
          </w:p>
          <w:p>
            <w:pPr>
              <w:pStyle w:val="11"/>
              <w:ind w:left="196" w:leftChars="0" w:right="186" w:rightChars="0"/>
              <w:jc w:val="center"/>
              <w:rPr>
                <w:rFonts w:hint="eastAsia"/>
                <w:sz w:val="21"/>
                <w:lang w:eastAsia="zh-CN"/>
              </w:rPr>
            </w:pPr>
          </w:p>
          <w:p>
            <w:pPr>
              <w:pStyle w:val="11"/>
              <w:ind w:left="196" w:leftChars="0" w:right="186" w:rightChars="0"/>
              <w:jc w:val="center"/>
              <w:rPr>
                <w:rFonts w:hint="eastAsia" w:ascii="仿宋_GB2312" w:hAnsi="仿宋_GB2312" w:eastAsia="仿宋_GB2312" w:cs="仿宋_GB2312"/>
                <w:sz w:val="21"/>
                <w:szCs w:val="22"/>
                <w:lang w:val="zh-CN" w:eastAsia="zh-CN" w:bidi="zh-CN"/>
              </w:rPr>
            </w:pPr>
            <w:r>
              <w:rPr>
                <w:rFonts w:hint="eastAsia"/>
                <w:sz w:val="21"/>
                <w:lang w:eastAsia="zh-CN"/>
              </w:rPr>
              <w:t>强红霞</w:t>
            </w:r>
          </w:p>
        </w:tc>
        <w:tc>
          <w:tcPr>
            <w:tcW w:w="1200" w:type="dxa"/>
            <w:vAlign w:val="top"/>
          </w:tcPr>
          <w:p>
            <w:pPr>
              <w:pStyle w:val="11"/>
              <w:spacing w:before="9"/>
              <w:rPr>
                <w:rFonts w:ascii="方正小标宋简体"/>
                <w:sz w:val="20"/>
              </w:rPr>
            </w:pPr>
          </w:p>
          <w:p>
            <w:pPr>
              <w:pStyle w:val="11"/>
              <w:ind w:left="161" w:leftChars="0" w:right="157" w:rightChars="0"/>
              <w:jc w:val="center"/>
              <w:rPr>
                <w:rFonts w:hint="eastAsia"/>
                <w:sz w:val="21"/>
                <w:lang w:eastAsia="zh-CN"/>
              </w:rPr>
            </w:pPr>
          </w:p>
          <w:p>
            <w:pPr>
              <w:pStyle w:val="11"/>
              <w:ind w:left="161" w:leftChars="0" w:right="157" w:rightChars="0"/>
              <w:jc w:val="center"/>
              <w:rPr>
                <w:rFonts w:hint="eastAsia"/>
                <w:sz w:val="21"/>
                <w:lang w:eastAsia="zh-CN"/>
              </w:rPr>
            </w:pPr>
          </w:p>
          <w:p>
            <w:pPr>
              <w:pStyle w:val="11"/>
              <w:ind w:left="161" w:leftChars="0" w:right="157" w:rightChars="0"/>
              <w:jc w:val="center"/>
              <w:rPr>
                <w:rFonts w:hint="eastAsia" w:ascii="仿宋_GB2312" w:hAnsi="仿宋_GB2312" w:eastAsia="仿宋_GB2312" w:cs="仿宋_GB2312"/>
                <w:sz w:val="21"/>
                <w:szCs w:val="22"/>
                <w:lang w:val="zh-CN" w:eastAsia="zh-CN" w:bidi="zh-CN"/>
              </w:rPr>
            </w:pPr>
            <w:r>
              <w:rPr>
                <w:rFonts w:hint="eastAsia"/>
                <w:sz w:val="21"/>
                <w:lang w:eastAsia="zh-CN"/>
              </w:rPr>
              <w:t>办公室</w:t>
            </w:r>
          </w:p>
        </w:tc>
        <w:tc>
          <w:tcPr>
            <w:tcW w:w="1095" w:type="dxa"/>
            <w:vAlign w:val="top"/>
          </w:tcPr>
          <w:p>
            <w:pPr>
              <w:pStyle w:val="11"/>
              <w:spacing w:before="9"/>
              <w:rPr>
                <w:rFonts w:ascii="方正小标宋简体"/>
                <w:sz w:val="20"/>
              </w:rPr>
            </w:pPr>
          </w:p>
          <w:p>
            <w:pPr>
              <w:pStyle w:val="11"/>
              <w:ind w:left="123" w:leftChars="0" w:right="119" w:rightChars="0"/>
              <w:jc w:val="center"/>
              <w:rPr>
                <w:sz w:val="21"/>
              </w:rPr>
            </w:pPr>
          </w:p>
          <w:p>
            <w:pPr>
              <w:pStyle w:val="11"/>
              <w:ind w:left="123" w:leftChars="0" w:right="119" w:rightChars="0"/>
              <w:jc w:val="center"/>
              <w:rPr>
                <w:sz w:val="21"/>
              </w:rPr>
            </w:pPr>
          </w:p>
          <w:p>
            <w:pPr>
              <w:pStyle w:val="11"/>
              <w:ind w:left="123" w:leftChars="0" w:right="119" w:rightChars="0"/>
              <w:jc w:val="center"/>
              <w:rPr>
                <w:rFonts w:hint="default" w:ascii="仿宋_GB2312" w:hAnsi="仿宋_GB2312" w:eastAsia="仿宋_GB2312" w:cs="仿宋_GB2312"/>
                <w:sz w:val="21"/>
                <w:szCs w:val="22"/>
                <w:lang w:val="en-US" w:eastAsia="zh-CN" w:bidi="zh-CN"/>
              </w:rPr>
            </w:pPr>
            <w:r>
              <w:rPr>
                <w:sz w:val="21"/>
              </w:rPr>
              <w:t>12月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5" w:hRule="atLeast"/>
        </w:trPr>
        <w:tc>
          <w:tcPr>
            <w:tcW w:w="1820" w:type="dxa"/>
            <w:vMerge w:val="continue"/>
            <w:tcBorders>
              <w:top w:val="nil"/>
            </w:tcBorders>
          </w:tcPr>
          <w:p>
            <w:pPr>
              <w:rPr>
                <w:sz w:val="2"/>
                <w:szCs w:val="2"/>
              </w:rPr>
            </w:pPr>
          </w:p>
        </w:tc>
        <w:tc>
          <w:tcPr>
            <w:tcW w:w="2865" w:type="dxa"/>
          </w:tcPr>
          <w:p>
            <w:pPr>
              <w:pStyle w:val="11"/>
              <w:spacing w:before="13" w:line="242" w:lineRule="auto"/>
              <w:ind w:left="103" w:right="195"/>
              <w:rPr>
                <w:sz w:val="21"/>
              </w:rPr>
            </w:pPr>
          </w:p>
          <w:p>
            <w:pPr>
              <w:pStyle w:val="11"/>
              <w:spacing w:before="13" w:line="242" w:lineRule="auto"/>
              <w:ind w:left="103" w:right="195"/>
              <w:rPr>
                <w:sz w:val="21"/>
              </w:rPr>
            </w:pPr>
            <w:r>
              <w:rPr>
                <w:sz w:val="21"/>
              </w:rPr>
              <w:t>2.组织集中观看“生命重于泰山”电视专题片及开展相</w:t>
            </w:r>
          </w:p>
          <w:p>
            <w:pPr>
              <w:pStyle w:val="11"/>
              <w:spacing w:before="1" w:line="259" w:lineRule="exact"/>
              <w:ind w:left="103"/>
              <w:rPr>
                <w:sz w:val="21"/>
              </w:rPr>
            </w:pPr>
            <w:r>
              <w:rPr>
                <w:sz w:val="21"/>
              </w:rPr>
              <w:t>关警示教育</w:t>
            </w:r>
          </w:p>
        </w:tc>
        <w:tc>
          <w:tcPr>
            <w:tcW w:w="6105" w:type="dxa"/>
          </w:tcPr>
          <w:p>
            <w:pPr>
              <w:pStyle w:val="11"/>
              <w:spacing w:before="147" w:line="244" w:lineRule="auto"/>
              <w:ind w:right="158"/>
              <w:rPr>
                <w:sz w:val="21"/>
              </w:rPr>
            </w:pPr>
          </w:p>
          <w:p>
            <w:pPr>
              <w:pStyle w:val="11"/>
              <w:spacing w:before="147" w:line="244" w:lineRule="auto"/>
              <w:ind w:right="158"/>
              <w:rPr>
                <w:sz w:val="21"/>
              </w:rPr>
            </w:pPr>
            <w:r>
              <w:rPr>
                <w:sz w:val="21"/>
              </w:rPr>
              <w:t>组织干部职工集中观看“生命重于泰山”电视专题片，并召开安全生产警示教育大会。</w:t>
            </w:r>
          </w:p>
        </w:tc>
        <w:tc>
          <w:tcPr>
            <w:tcW w:w="1260" w:type="dxa"/>
            <w:vAlign w:val="top"/>
          </w:tcPr>
          <w:p>
            <w:pPr>
              <w:pStyle w:val="11"/>
              <w:spacing w:before="9"/>
              <w:rPr>
                <w:rFonts w:ascii="方正小标宋简体"/>
                <w:sz w:val="20"/>
              </w:rPr>
            </w:pPr>
          </w:p>
          <w:p>
            <w:pPr>
              <w:pStyle w:val="11"/>
              <w:spacing w:before="9"/>
              <w:rPr>
                <w:rFonts w:ascii="方正小标宋简体"/>
                <w:sz w:val="20"/>
              </w:rPr>
            </w:pPr>
          </w:p>
          <w:p>
            <w:pPr>
              <w:pStyle w:val="11"/>
              <w:ind w:left="196" w:leftChars="0" w:right="186" w:rightChars="0"/>
              <w:jc w:val="center"/>
              <w:rPr>
                <w:rFonts w:hint="default" w:ascii="仿宋_GB2312" w:hAnsi="仿宋_GB2312" w:eastAsia="仿宋_GB2312" w:cs="仿宋_GB2312"/>
                <w:sz w:val="21"/>
                <w:szCs w:val="22"/>
                <w:lang w:val="en-US" w:eastAsia="zh-CN" w:bidi="zh-CN"/>
              </w:rPr>
            </w:pPr>
            <w:r>
              <w:rPr>
                <w:rFonts w:hint="eastAsia"/>
                <w:sz w:val="21"/>
                <w:lang w:eastAsia="zh-CN"/>
              </w:rPr>
              <w:t>强红霞</w:t>
            </w:r>
          </w:p>
        </w:tc>
        <w:tc>
          <w:tcPr>
            <w:tcW w:w="1200" w:type="dxa"/>
            <w:vAlign w:val="top"/>
          </w:tcPr>
          <w:p>
            <w:pPr>
              <w:pStyle w:val="11"/>
              <w:spacing w:before="9"/>
              <w:rPr>
                <w:rFonts w:ascii="方正小标宋简体"/>
                <w:sz w:val="20"/>
              </w:rPr>
            </w:pPr>
          </w:p>
          <w:p>
            <w:pPr>
              <w:pStyle w:val="11"/>
              <w:ind w:left="161" w:leftChars="0" w:right="157" w:rightChars="0"/>
              <w:jc w:val="center"/>
              <w:rPr>
                <w:rFonts w:hint="eastAsia"/>
                <w:sz w:val="21"/>
                <w:lang w:eastAsia="zh-CN"/>
              </w:rPr>
            </w:pPr>
          </w:p>
          <w:p>
            <w:pPr>
              <w:pStyle w:val="11"/>
              <w:ind w:left="161" w:leftChars="0" w:right="157" w:rightChars="0"/>
              <w:jc w:val="center"/>
              <w:rPr>
                <w:rFonts w:hint="eastAsia" w:ascii="仿宋_GB2312" w:hAnsi="仿宋_GB2312" w:eastAsia="仿宋_GB2312" w:cs="仿宋_GB2312"/>
                <w:sz w:val="21"/>
                <w:szCs w:val="22"/>
                <w:lang w:val="zh-CN" w:eastAsia="zh-CN" w:bidi="zh-CN"/>
              </w:rPr>
            </w:pPr>
            <w:r>
              <w:rPr>
                <w:rFonts w:hint="eastAsia"/>
                <w:sz w:val="21"/>
                <w:lang w:eastAsia="zh-CN"/>
              </w:rPr>
              <w:t>办公室</w:t>
            </w:r>
          </w:p>
        </w:tc>
        <w:tc>
          <w:tcPr>
            <w:tcW w:w="1095" w:type="dxa"/>
            <w:vAlign w:val="top"/>
          </w:tcPr>
          <w:p>
            <w:pPr>
              <w:pStyle w:val="11"/>
              <w:spacing w:before="9"/>
              <w:rPr>
                <w:rFonts w:ascii="方正小标宋简体"/>
                <w:sz w:val="20"/>
              </w:rPr>
            </w:pPr>
          </w:p>
          <w:p>
            <w:pPr>
              <w:pStyle w:val="11"/>
              <w:ind w:left="123" w:leftChars="0" w:right="119" w:rightChars="0"/>
              <w:jc w:val="center"/>
              <w:rPr>
                <w:rFonts w:hint="eastAsia"/>
                <w:sz w:val="21"/>
                <w:lang w:val="en-US" w:eastAsia="zh-CN"/>
              </w:rPr>
            </w:pPr>
          </w:p>
          <w:p>
            <w:pPr>
              <w:pStyle w:val="11"/>
              <w:ind w:left="123" w:leftChars="0" w:right="119" w:rightChars="0"/>
              <w:jc w:val="center"/>
              <w:rPr>
                <w:rFonts w:hint="default" w:ascii="仿宋_GB2312" w:hAnsi="仿宋_GB2312" w:eastAsia="仿宋_GB2312" w:cs="仿宋_GB2312"/>
                <w:sz w:val="21"/>
                <w:szCs w:val="22"/>
                <w:lang w:val="en-US" w:eastAsia="zh-CN" w:bidi="zh-CN"/>
              </w:rPr>
            </w:pPr>
            <w:r>
              <w:rPr>
                <w:rFonts w:hint="eastAsia"/>
                <w:sz w:val="21"/>
                <w:lang w:val="en-US" w:eastAsia="zh-CN"/>
              </w:rPr>
              <w:t>8</w:t>
            </w:r>
            <w:r>
              <w:rPr>
                <w:sz w:val="21"/>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68" w:hRule="atLeast"/>
        </w:trPr>
        <w:tc>
          <w:tcPr>
            <w:tcW w:w="1820" w:type="dxa"/>
            <w:vMerge w:val="continue"/>
            <w:tcBorders>
              <w:top w:val="nil"/>
            </w:tcBorders>
          </w:tcPr>
          <w:p>
            <w:pPr>
              <w:rPr>
                <w:sz w:val="2"/>
                <w:szCs w:val="2"/>
              </w:rPr>
            </w:pPr>
          </w:p>
        </w:tc>
        <w:tc>
          <w:tcPr>
            <w:tcW w:w="2865" w:type="dxa"/>
          </w:tcPr>
          <w:p>
            <w:pPr>
              <w:pStyle w:val="11"/>
              <w:spacing w:before="4"/>
              <w:rPr>
                <w:rFonts w:ascii="方正小标宋简体"/>
                <w:sz w:val="12"/>
              </w:rPr>
            </w:pPr>
          </w:p>
          <w:p>
            <w:pPr>
              <w:pStyle w:val="11"/>
              <w:spacing w:line="244" w:lineRule="auto"/>
              <w:ind w:left="103" w:right="195"/>
              <w:rPr>
                <w:sz w:val="21"/>
              </w:rPr>
            </w:pPr>
          </w:p>
          <w:p>
            <w:pPr>
              <w:pStyle w:val="11"/>
              <w:spacing w:line="244" w:lineRule="auto"/>
              <w:ind w:left="103" w:right="195"/>
              <w:rPr>
                <w:sz w:val="21"/>
              </w:rPr>
            </w:pPr>
            <w:r>
              <w:rPr>
                <w:sz w:val="21"/>
              </w:rPr>
              <w:t>3.开展“安全生产月”宣传活动</w:t>
            </w:r>
          </w:p>
        </w:tc>
        <w:tc>
          <w:tcPr>
            <w:tcW w:w="6105" w:type="dxa"/>
          </w:tcPr>
          <w:p>
            <w:pPr>
              <w:pStyle w:val="11"/>
              <w:spacing w:before="80" w:line="242" w:lineRule="auto"/>
              <w:ind w:left="107" w:right="158"/>
              <w:jc w:val="both"/>
              <w:rPr>
                <w:sz w:val="21"/>
              </w:rPr>
            </w:pPr>
          </w:p>
          <w:p>
            <w:pPr>
              <w:pStyle w:val="11"/>
              <w:spacing w:before="80" w:line="242" w:lineRule="auto"/>
              <w:ind w:left="107" w:right="158"/>
              <w:jc w:val="both"/>
              <w:rPr>
                <w:sz w:val="21"/>
              </w:rPr>
            </w:pPr>
            <w:r>
              <w:rPr>
                <w:sz w:val="21"/>
              </w:rPr>
              <w:t>制定“安全生产月”宣传活动方案，落实普法责任制，抓好相关宣传节点的宣传，进一步推动应急安全常识宣传普及，进一步加强安全生产宣传报道。</w:t>
            </w:r>
          </w:p>
        </w:tc>
        <w:tc>
          <w:tcPr>
            <w:tcW w:w="1260" w:type="dxa"/>
            <w:vAlign w:val="top"/>
          </w:tcPr>
          <w:p>
            <w:pPr>
              <w:pStyle w:val="11"/>
              <w:spacing w:before="9"/>
              <w:rPr>
                <w:rFonts w:ascii="方正小标宋简体"/>
                <w:sz w:val="20"/>
              </w:rPr>
            </w:pPr>
          </w:p>
          <w:p>
            <w:pPr>
              <w:pStyle w:val="11"/>
              <w:ind w:left="196" w:leftChars="0" w:right="186" w:rightChars="0"/>
              <w:jc w:val="center"/>
              <w:rPr>
                <w:rFonts w:hint="eastAsia"/>
                <w:sz w:val="21"/>
                <w:lang w:eastAsia="zh-CN"/>
              </w:rPr>
            </w:pPr>
          </w:p>
          <w:p>
            <w:pPr>
              <w:pStyle w:val="11"/>
              <w:ind w:left="196" w:leftChars="0" w:right="186" w:rightChars="0"/>
              <w:jc w:val="center"/>
              <w:rPr>
                <w:rFonts w:hint="eastAsia" w:ascii="仿宋_GB2312" w:hAnsi="仿宋_GB2312" w:eastAsia="仿宋_GB2312" w:cs="仿宋_GB2312"/>
                <w:sz w:val="21"/>
                <w:szCs w:val="22"/>
                <w:lang w:val="zh-CN" w:eastAsia="zh-CN" w:bidi="zh-CN"/>
              </w:rPr>
            </w:pPr>
            <w:r>
              <w:rPr>
                <w:rFonts w:hint="eastAsia"/>
                <w:sz w:val="21"/>
                <w:lang w:eastAsia="zh-CN"/>
              </w:rPr>
              <w:t>强红霞</w:t>
            </w:r>
          </w:p>
        </w:tc>
        <w:tc>
          <w:tcPr>
            <w:tcW w:w="1200" w:type="dxa"/>
            <w:vAlign w:val="top"/>
          </w:tcPr>
          <w:p>
            <w:pPr>
              <w:pStyle w:val="11"/>
              <w:spacing w:before="9"/>
              <w:rPr>
                <w:rFonts w:ascii="方正小标宋简体"/>
                <w:sz w:val="20"/>
              </w:rPr>
            </w:pPr>
          </w:p>
          <w:p>
            <w:pPr>
              <w:pStyle w:val="11"/>
              <w:ind w:left="161" w:leftChars="0" w:right="157" w:rightChars="0"/>
              <w:jc w:val="center"/>
              <w:rPr>
                <w:rFonts w:hint="eastAsia"/>
                <w:sz w:val="21"/>
                <w:lang w:eastAsia="zh-CN"/>
              </w:rPr>
            </w:pPr>
          </w:p>
          <w:p>
            <w:pPr>
              <w:pStyle w:val="11"/>
              <w:ind w:left="161" w:leftChars="0" w:right="157" w:rightChars="0"/>
              <w:jc w:val="center"/>
              <w:rPr>
                <w:rFonts w:hint="eastAsia" w:ascii="仿宋_GB2312" w:hAnsi="仿宋_GB2312" w:eastAsia="仿宋_GB2312" w:cs="仿宋_GB2312"/>
                <w:sz w:val="21"/>
                <w:szCs w:val="22"/>
                <w:lang w:val="zh-CN" w:eastAsia="zh-CN" w:bidi="zh-CN"/>
              </w:rPr>
            </w:pPr>
            <w:r>
              <w:rPr>
                <w:rFonts w:hint="eastAsia"/>
                <w:sz w:val="21"/>
                <w:lang w:eastAsia="zh-CN"/>
              </w:rPr>
              <w:t>办公室</w:t>
            </w:r>
          </w:p>
        </w:tc>
        <w:tc>
          <w:tcPr>
            <w:tcW w:w="1095" w:type="dxa"/>
            <w:vAlign w:val="top"/>
          </w:tcPr>
          <w:p>
            <w:pPr>
              <w:pStyle w:val="11"/>
              <w:spacing w:before="9"/>
              <w:rPr>
                <w:rFonts w:ascii="方正小标宋简体"/>
                <w:sz w:val="20"/>
              </w:rPr>
            </w:pPr>
          </w:p>
          <w:p>
            <w:pPr>
              <w:pStyle w:val="11"/>
              <w:ind w:left="123" w:leftChars="0" w:right="119" w:rightChars="0"/>
              <w:jc w:val="center"/>
              <w:rPr>
                <w:rFonts w:hint="eastAsia"/>
                <w:sz w:val="21"/>
                <w:lang w:val="en-US" w:eastAsia="zh-CN"/>
              </w:rPr>
            </w:pPr>
          </w:p>
          <w:p>
            <w:pPr>
              <w:pStyle w:val="11"/>
              <w:ind w:left="123" w:leftChars="0" w:right="119" w:rightChars="0"/>
              <w:jc w:val="center"/>
              <w:rPr>
                <w:rFonts w:hint="default" w:ascii="仿宋_GB2312" w:hAnsi="仿宋_GB2312" w:eastAsia="仿宋_GB2312" w:cs="仿宋_GB2312"/>
                <w:sz w:val="21"/>
                <w:szCs w:val="22"/>
                <w:lang w:val="en-US" w:eastAsia="zh-CN" w:bidi="zh-CN"/>
              </w:rPr>
            </w:pPr>
            <w:r>
              <w:rPr>
                <w:rFonts w:hint="eastAsia"/>
                <w:sz w:val="21"/>
                <w:lang w:val="en-US" w:eastAsia="zh-CN"/>
              </w:rPr>
              <w:t>6</w:t>
            </w:r>
            <w:r>
              <w:rPr>
                <w:sz w:val="21"/>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37" w:hRule="atLeast"/>
        </w:trPr>
        <w:tc>
          <w:tcPr>
            <w:tcW w:w="1820" w:type="dxa"/>
            <w:vMerge w:val="restart"/>
          </w:tcPr>
          <w:p>
            <w:pPr>
              <w:pStyle w:val="11"/>
              <w:rPr>
                <w:rFonts w:ascii="方正小标宋简体"/>
                <w:sz w:val="20"/>
              </w:rPr>
            </w:pPr>
          </w:p>
          <w:p>
            <w:pPr>
              <w:pStyle w:val="11"/>
              <w:spacing w:before="6"/>
              <w:rPr>
                <w:rFonts w:ascii="方正小标宋简体"/>
                <w:sz w:val="28"/>
              </w:rPr>
            </w:pPr>
          </w:p>
          <w:p>
            <w:pPr>
              <w:pStyle w:val="11"/>
              <w:ind w:left="105"/>
              <w:rPr>
                <w:rFonts w:hint="eastAsia" w:ascii="楷体_GB2312" w:hAnsi="楷体_GB2312" w:eastAsia="楷体_GB2312"/>
                <w:sz w:val="21"/>
              </w:rPr>
            </w:pPr>
          </w:p>
          <w:p>
            <w:pPr>
              <w:pStyle w:val="11"/>
              <w:ind w:left="105"/>
              <w:rPr>
                <w:rFonts w:hint="eastAsia" w:ascii="楷体_GB2312" w:hAnsi="楷体_GB2312" w:eastAsia="楷体_GB2312"/>
                <w:sz w:val="21"/>
              </w:rPr>
            </w:pPr>
          </w:p>
          <w:p>
            <w:pPr>
              <w:pStyle w:val="11"/>
              <w:ind w:left="105"/>
              <w:rPr>
                <w:rFonts w:hint="eastAsia" w:ascii="楷体_GB2312" w:hAnsi="楷体_GB2312" w:eastAsia="楷体_GB2312"/>
                <w:sz w:val="21"/>
              </w:rPr>
            </w:pPr>
          </w:p>
          <w:p>
            <w:pPr>
              <w:pStyle w:val="11"/>
              <w:ind w:left="105"/>
              <w:rPr>
                <w:rFonts w:hint="eastAsia" w:ascii="楷体_GB2312" w:hAnsi="楷体_GB2312" w:eastAsia="楷体_GB2312"/>
                <w:sz w:val="21"/>
              </w:rPr>
            </w:pPr>
            <w:r>
              <w:rPr>
                <w:rFonts w:hint="eastAsia" w:ascii="楷体_GB2312" w:hAnsi="楷体_GB2312" w:eastAsia="楷体_GB2312"/>
                <w:sz w:val="21"/>
              </w:rPr>
              <w:t>“两类人员”管理</w:t>
            </w:r>
          </w:p>
        </w:tc>
        <w:tc>
          <w:tcPr>
            <w:tcW w:w="2865" w:type="dxa"/>
          </w:tcPr>
          <w:p>
            <w:pPr>
              <w:pStyle w:val="11"/>
              <w:spacing w:before="7"/>
              <w:rPr>
                <w:rFonts w:ascii="方正小标宋简体"/>
                <w:sz w:val="20"/>
              </w:rPr>
            </w:pPr>
          </w:p>
          <w:p>
            <w:pPr>
              <w:pStyle w:val="11"/>
              <w:ind w:left="103"/>
              <w:rPr>
                <w:sz w:val="21"/>
              </w:rPr>
            </w:pPr>
          </w:p>
          <w:p>
            <w:pPr>
              <w:pStyle w:val="11"/>
              <w:ind w:left="103"/>
              <w:rPr>
                <w:sz w:val="21"/>
              </w:rPr>
            </w:pPr>
            <w:r>
              <w:rPr>
                <w:sz w:val="21"/>
              </w:rPr>
              <w:t>1.刑满释放人员管理</w:t>
            </w:r>
          </w:p>
        </w:tc>
        <w:tc>
          <w:tcPr>
            <w:tcW w:w="6105" w:type="dxa"/>
            <w:tcBorders>
              <w:bottom w:val="single" w:color="auto" w:sz="4" w:space="0"/>
            </w:tcBorders>
          </w:tcPr>
          <w:p>
            <w:pPr>
              <w:pStyle w:val="11"/>
              <w:spacing w:before="89" w:line="242" w:lineRule="auto"/>
              <w:ind w:left="107" w:right="158"/>
              <w:jc w:val="both"/>
              <w:rPr>
                <w:rFonts w:hint="eastAsia"/>
                <w:sz w:val="21"/>
                <w:lang w:val="en-US" w:eastAsia="zh-CN"/>
              </w:rPr>
            </w:pPr>
          </w:p>
          <w:p>
            <w:pPr>
              <w:pStyle w:val="11"/>
              <w:spacing w:before="89" w:line="242" w:lineRule="auto"/>
              <w:ind w:left="107" w:right="158"/>
              <w:jc w:val="both"/>
              <w:rPr>
                <w:sz w:val="21"/>
              </w:rPr>
            </w:pPr>
            <w:r>
              <w:rPr>
                <w:rFonts w:hint="eastAsia"/>
                <w:sz w:val="21"/>
                <w:lang w:val="en-US" w:eastAsia="zh-CN"/>
              </w:rPr>
              <w:t>要求各司法所严格按照户籍地负主要衔接帮教职责的原则，落实安置帮教措施。落实好与安置帮教对象季联系制度。积极推广宣传远程视频会见便民措施。</w:t>
            </w:r>
          </w:p>
        </w:tc>
        <w:tc>
          <w:tcPr>
            <w:tcW w:w="1260" w:type="dxa"/>
            <w:tcBorders>
              <w:bottom w:val="single" w:color="auto" w:sz="4" w:space="0"/>
            </w:tcBorders>
          </w:tcPr>
          <w:p>
            <w:pPr>
              <w:pStyle w:val="11"/>
              <w:spacing w:before="7"/>
              <w:rPr>
                <w:rFonts w:ascii="方正小标宋简体"/>
                <w:sz w:val="20"/>
              </w:rPr>
            </w:pPr>
          </w:p>
          <w:p>
            <w:pPr>
              <w:pStyle w:val="11"/>
              <w:ind w:left="196" w:right="186"/>
              <w:jc w:val="center"/>
              <w:rPr>
                <w:rFonts w:hint="eastAsia"/>
                <w:sz w:val="21"/>
                <w:lang w:eastAsia="zh-CN"/>
              </w:rPr>
            </w:pPr>
          </w:p>
          <w:p>
            <w:pPr>
              <w:pStyle w:val="11"/>
              <w:ind w:left="196" w:right="186"/>
              <w:jc w:val="center"/>
              <w:rPr>
                <w:rFonts w:hint="eastAsia" w:eastAsia="仿宋_GB2312"/>
                <w:sz w:val="21"/>
                <w:lang w:eastAsia="zh-CN"/>
              </w:rPr>
            </w:pPr>
            <w:r>
              <w:rPr>
                <w:rFonts w:hint="eastAsia"/>
                <w:sz w:val="21"/>
                <w:lang w:eastAsia="zh-CN"/>
              </w:rPr>
              <w:t>张明权</w:t>
            </w:r>
          </w:p>
        </w:tc>
        <w:tc>
          <w:tcPr>
            <w:tcW w:w="1200" w:type="dxa"/>
          </w:tcPr>
          <w:p>
            <w:pPr>
              <w:pStyle w:val="11"/>
              <w:spacing w:before="7"/>
              <w:rPr>
                <w:rFonts w:ascii="方正小标宋简体"/>
                <w:sz w:val="20"/>
              </w:rPr>
            </w:pPr>
          </w:p>
          <w:p>
            <w:pPr>
              <w:pStyle w:val="11"/>
              <w:ind w:left="161" w:right="157"/>
              <w:jc w:val="center"/>
              <w:rPr>
                <w:sz w:val="21"/>
              </w:rPr>
            </w:pPr>
          </w:p>
          <w:p>
            <w:pPr>
              <w:pStyle w:val="11"/>
              <w:ind w:left="161" w:right="157"/>
              <w:jc w:val="center"/>
              <w:rPr>
                <w:rFonts w:hint="eastAsia" w:eastAsia="仿宋_GB2312"/>
                <w:sz w:val="21"/>
                <w:lang w:eastAsia="zh-CN"/>
              </w:rPr>
            </w:pPr>
            <w:r>
              <w:rPr>
                <w:sz w:val="21"/>
              </w:rPr>
              <w:t>人</w:t>
            </w:r>
            <w:r>
              <w:rPr>
                <w:rFonts w:hint="eastAsia"/>
                <w:sz w:val="21"/>
                <w:lang w:eastAsia="zh-CN"/>
              </w:rPr>
              <w:t>民</w:t>
            </w:r>
            <w:r>
              <w:rPr>
                <w:sz w:val="21"/>
              </w:rPr>
              <w:t>参</w:t>
            </w:r>
            <w:r>
              <w:rPr>
                <w:rFonts w:hint="eastAsia"/>
                <w:sz w:val="21"/>
                <w:lang w:eastAsia="zh-CN"/>
              </w:rPr>
              <w:t>与和促进法治股</w:t>
            </w:r>
          </w:p>
        </w:tc>
        <w:tc>
          <w:tcPr>
            <w:tcW w:w="1095" w:type="dxa"/>
          </w:tcPr>
          <w:p>
            <w:pPr>
              <w:pStyle w:val="11"/>
              <w:spacing w:before="7"/>
              <w:rPr>
                <w:rFonts w:ascii="方正小标宋简体"/>
                <w:sz w:val="20"/>
              </w:rPr>
            </w:pPr>
          </w:p>
          <w:p>
            <w:pPr>
              <w:pStyle w:val="11"/>
              <w:ind w:left="123" w:right="119"/>
              <w:jc w:val="center"/>
              <w:rPr>
                <w:sz w:val="21"/>
              </w:rPr>
            </w:pPr>
          </w:p>
          <w:p>
            <w:pPr>
              <w:pStyle w:val="11"/>
              <w:ind w:left="123" w:right="119"/>
              <w:jc w:val="center"/>
              <w:rPr>
                <w:sz w:val="21"/>
              </w:rPr>
            </w:pPr>
            <w:r>
              <w:rPr>
                <w:sz w:val="21"/>
              </w:rPr>
              <w:t>12月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49" w:hRule="atLeast"/>
        </w:trPr>
        <w:tc>
          <w:tcPr>
            <w:tcW w:w="1820" w:type="dxa"/>
            <w:vMerge w:val="continue"/>
            <w:tcBorders>
              <w:top w:val="nil"/>
            </w:tcBorders>
          </w:tcPr>
          <w:p>
            <w:pPr>
              <w:rPr>
                <w:sz w:val="2"/>
                <w:szCs w:val="2"/>
              </w:rPr>
            </w:pPr>
          </w:p>
        </w:tc>
        <w:tc>
          <w:tcPr>
            <w:tcW w:w="2865" w:type="dxa"/>
            <w:tcBorders>
              <w:right w:val="single" w:color="auto" w:sz="4" w:space="0"/>
            </w:tcBorders>
          </w:tcPr>
          <w:p>
            <w:pPr>
              <w:pStyle w:val="11"/>
              <w:spacing w:before="17"/>
              <w:rPr>
                <w:rFonts w:ascii="方正小标宋简体"/>
                <w:sz w:val="19"/>
              </w:rPr>
            </w:pPr>
          </w:p>
          <w:p>
            <w:pPr>
              <w:pStyle w:val="11"/>
              <w:ind w:left="103"/>
              <w:rPr>
                <w:sz w:val="21"/>
              </w:rPr>
            </w:pPr>
          </w:p>
          <w:p>
            <w:pPr>
              <w:pStyle w:val="11"/>
              <w:ind w:left="103"/>
              <w:rPr>
                <w:sz w:val="21"/>
              </w:rPr>
            </w:pPr>
          </w:p>
          <w:p>
            <w:pPr>
              <w:pStyle w:val="11"/>
              <w:ind w:left="103"/>
              <w:rPr>
                <w:sz w:val="21"/>
              </w:rPr>
            </w:pPr>
            <w:r>
              <w:rPr>
                <w:sz w:val="21"/>
              </w:rPr>
              <w:t>2.社区矫正对象管控</w:t>
            </w:r>
          </w:p>
        </w:tc>
        <w:tc>
          <w:tcPr>
            <w:tcW w:w="6105" w:type="dxa"/>
            <w:tcBorders>
              <w:top w:val="single" w:color="auto" w:sz="4" w:space="0"/>
              <w:left w:val="single" w:color="auto" w:sz="4" w:space="0"/>
              <w:bottom w:val="single" w:color="auto" w:sz="4" w:space="0"/>
              <w:right w:val="single" w:color="auto" w:sz="4" w:space="0"/>
            </w:tcBorders>
          </w:tcPr>
          <w:p>
            <w:pPr>
              <w:pStyle w:val="11"/>
              <w:spacing w:before="7"/>
              <w:rPr>
                <w:rFonts w:hint="default" w:ascii="方正小标宋简体"/>
                <w:sz w:val="20"/>
                <w:lang w:val="en-US" w:eastAsia="zh-CN"/>
              </w:rPr>
            </w:pPr>
          </w:p>
          <w:p>
            <w:pPr>
              <w:pStyle w:val="11"/>
              <w:spacing w:before="7"/>
              <w:rPr>
                <w:sz w:val="21"/>
              </w:rPr>
            </w:pPr>
            <w:r>
              <w:rPr>
                <w:rFonts w:hint="default" w:ascii="方正小标宋简体"/>
                <w:sz w:val="20"/>
                <w:lang w:val="en-US" w:eastAsia="zh-CN"/>
              </w:rPr>
              <w:t>加强社区矫正对象监管，严格定期报告、走访和外出审批监管</w:t>
            </w:r>
            <w:r>
              <w:rPr>
                <w:rFonts w:hint="eastAsia" w:ascii="方正小标宋简体"/>
                <w:sz w:val="20"/>
                <w:lang w:val="en-US" w:eastAsia="zh-CN"/>
              </w:rPr>
              <w:t>。实时掌握对象行动轨迹，做好信息化核查等工作。</w:t>
            </w:r>
            <w:r>
              <w:rPr>
                <w:rFonts w:hint="default" w:ascii="方正小标宋简体"/>
                <w:sz w:val="20"/>
                <w:lang w:val="en-US" w:eastAsia="zh-CN"/>
              </w:rPr>
              <w:t>预判现实风险</w:t>
            </w:r>
            <w:r>
              <w:rPr>
                <w:rFonts w:hint="eastAsia" w:ascii="方正小标宋简体"/>
                <w:sz w:val="20"/>
                <w:lang w:val="en-US" w:eastAsia="zh-CN"/>
              </w:rPr>
              <w:t>，</w:t>
            </w:r>
            <w:r>
              <w:rPr>
                <w:rFonts w:hint="default" w:ascii="方正小标宋简体"/>
                <w:sz w:val="20"/>
                <w:lang w:val="en-US" w:eastAsia="zh-CN"/>
              </w:rPr>
              <w:t>防止脱管漏管。</w:t>
            </w:r>
            <w:r>
              <w:rPr>
                <w:rFonts w:hint="eastAsia" w:ascii="方正小标宋简体"/>
                <w:sz w:val="20"/>
                <w:lang w:val="en-US" w:eastAsia="zh-CN"/>
              </w:rPr>
              <w:t>加强安全隐患摸排。到社区矫正对象的家中进行实地走访，详细了解社区矫正对象日常表现情况。提高全区社区矫正对象疫情防护意识，做好疫情防控宣传。鼓励社区矫正对象</w:t>
            </w:r>
            <w:r>
              <w:rPr>
                <w:rFonts w:hint="default" w:ascii="方正小标宋简体"/>
                <w:sz w:val="20"/>
                <w:lang w:val="en-US" w:eastAsia="zh-CN"/>
              </w:rPr>
              <w:t>积极响应</w:t>
            </w:r>
            <w:r>
              <w:rPr>
                <w:rFonts w:hint="eastAsia" w:ascii="方正小标宋简体"/>
                <w:sz w:val="20"/>
                <w:lang w:val="en-US" w:eastAsia="zh-CN"/>
              </w:rPr>
              <w:t>国家</w:t>
            </w:r>
            <w:r>
              <w:rPr>
                <w:rFonts w:hint="default" w:ascii="方正小标宋简体"/>
                <w:sz w:val="20"/>
                <w:lang w:val="en-US" w:eastAsia="zh-CN"/>
              </w:rPr>
              <w:t>新冠肺炎疫情防控</w:t>
            </w:r>
            <w:r>
              <w:rPr>
                <w:rFonts w:hint="eastAsia" w:ascii="方正小标宋简体"/>
                <w:sz w:val="20"/>
                <w:lang w:val="en-US" w:eastAsia="zh-CN"/>
              </w:rPr>
              <w:t>相关政策，全力确保社区矫正对象安全稳定。</w:t>
            </w:r>
          </w:p>
        </w:tc>
        <w:tc>
          <w:tcPr>
            <w:tcW w:w="1260" w:type="dxa"/>
            <w:tcBorders>
              <w:top w:val="single" w:color="auto" w:sz="4" w:space="0"/>
              <w:left w:val="single" w:color="auto" w:sz="4" w:space="0"/>
              <w:bottom w:val="single" w:color="auto" w:sz="4" w:space="0"/>
              <w:right w:val="single" w:color="auto" w:sz="4" w:space="0"/>
            </w:tcBorders>
          </w:tcPr>
          <w:p>
            <w:pPr>
              <w:pStyle w:val="11"/>
              <w:spacing w:before="17"/>
              <w:rPr>
                <w:rFonts w:ascii="方正小标宋简体"/>
                <w:sz w:val="19"/>
              </w:rPr>
            </w:pPr>
          </w:p>
          <w:p>
            <w:pPr>
              <w:pStyle w:val="11"/>
              <w:ind w:left="196" w:right="186"/>
              <w:jc w:val="center"/>
              <w:rPr>
                <w:rFonts w:hint="eastAsia"/>
                <w:sz w:val="21"/>
                <w:lang w:eastAsia="zh-CN"/>
              </w:rPr>
            </w:pPr>
          </w:p>
          <w:p>
            <w:pPr>
              <w:pStyle w:val="11"/>
              <w:ind w:left="196" w:right="186"/>
              <w:jc w:val="center"/>
              <w:rPr>
                <w:rFonts w:hint="eastAsia"/>
                <w:sz w:val="21"/>
                <w:lang w:eastAsia="zh-CN"/>
              </w:rPr>
            </w:pPr>
          </w:p>
          <w:p>
            <w:pPr>
              <w:pStyle w:val="11"/>
              <w:ind w:left="196" w:right="186"/>
              <w:jc w:val="center"/>
              <w:rPr>
                <w:sz w:val="21"/>
              </w:rPr>
            </w:pPr>
            <w:r>
              <w:rPr>
                <w:rFonts w:hint="eastAsia"/>
                <w:sz w:val="21"/>
                <w:lang w:eastAsia="zh-CN"/>
              </w:rPr>
              <w:t>张明权</w:t>
            </w:r>
          </w:p>
        </w:tc>
        <w:tc>
          <w:tcPr>
            <w:tcW w:w="1200" w:type="dxa"/>
            <w:tcBorders>
              <w:left w:val="single" w:color="auto" w:sz="4" w:space="0"/>
            </w:tcBorders>
          </w:tcPr>
          <w:p>
            <w:pPr>
              <w:pStyle w:val="11"/>
              <w:spacing w:before="17"/>
              <w:rPr>
                <w:rFonts w:ascii="方正小标宋简体"/>
                <w:sz w:val="19"/>
              </w:rPr>
            </w:pPr>
          </w:p>
          <w:p>
            <w:pPr>
              <w:pStyle w:val="11"/>
              <w:ind w:left="163" w:right="157"/>
              <w:jc w:val="center"/>
              <w:rPr>
                <w:sz w:val="21"/>
              </w:rPr>
            </w:pPr>
          </w:p>
          <w:p>
            <w:pPr>
              <w:pStyle w:val="11"/>
              <w:ind w:left="163" w:right="157"/>
              <w:jc w:val="center"/>
              <w:rPr>
                <w:sz w:val="21"/>
              </w:rPr>
            </w:pPr>
          </w:p>
          <w:p>
            <w:pPr>
              <w:pStyle w:val="11"/>
              <w:ind w:left="163" w:right="157"/>
              <w:jc w:val="center"/>
              <w:rPr>
                <w:rFonts w:hint="eastAsia" w:eastAsia="仿宋_GB2312"/>
                <w:sz w:val="21"/>
                <w:lang w:eastAsia="zh-CN"/>
              </w:rPr>
            </w:pPr>
            <w:r>
              <w:rPr>
                <w:sz w:val="21"/>
              </w:rPr>
              <w:t>社区矫正</w:t>
            </w:r>
            <w:r>
              <w:rPr>
                <w:rFonts w:hint="eastAsia"/>
                <w:sz w:val="21"/>
                <w:lang w:eastAsia="zh-CN"/>
              </w:rPr>
              <w:t>管理股</w:t>
            </w:r>
          </w:p>
        </w:tc>
        <w:tc>
          <w:tcPr>
            <w:tcW w:w="1095" w:type="dxa"/>
          </w:tcPr>
          <w:p>
            <w:pPr>
              <w:pStyle w:val="11"/>
              <w:spacing w:before="17"/>
              <w:rPr>
                <w:rFonts w:ascii="方正小标宋简体"/>
                <w:sz w:val="19"/>
              </w:rPr>
            </w:pPr>
          </w:p>
          <w:p>
            <w:pPr>
              <w:pStyle w:val="11"/>
              <w:ind w:left="123" w:right="119"/>
              <w:jc w:val="center"/>
              <w:rPr>
                <w:sz w:val="21"/>
              </w:rPr>
            </w:pPr>
          </w:p>
          <w:p>
            <w:pPr>
              <w:pStyle w:val="11"/>
              <w:ind w:left="123" w:right="119"/>
              <w:jc w:val="center"/>
              <w:rPr>
                <w:sz w:val="21"/>
              </w:rPr>
            </w:pPr>
          </w:p>
          <w:p>
            <w:pPr>
              <w:pStyle w:val="11"/>
              <w:ind w:right="119" w:firstLine="210" w:firstLineChars="100"/>
              <w:jc w:val="both"/>
              <w:rPr>
                <w:sz w:val="21"/>
              </w:rPr>
            </w:pPr>
            <w:r>
              <w:rPr>
                <w:sz w:val="21"/>
              </w:rPr>
              <w:t>12月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7" w:hRule="atLeast"/>
        </w:trPr>
        <w:tc>
          <w:tcPr>
            <w:tcW w:w="1820" w:type="dxa"/>
            <w:vMerge w:val="restart"/>
          </w:tcPr>
          <w:p>
            <w:pPr>
              <w:pStyle w:val="11"/>
              <w:rPr>
                <w:rFonts w:ascii="方正小标宋简体"/>
                <w:sz w:val="20"/>
              </w:rPr>
            </w:pPr>
          </w:p>
          <w:p>
            <w:pPr>
              <w:pStyle w:val="11"/>
              <w:rPr>
                <w:rFonts w:ascii="方正小标宋简体"/>
                <w:sz w:val="20"/>
              </w:rPr>
            </w:pPr>
          </w:p>
          <w:p>
            <w:pPr>
              <w:pStyle w:val="11"/>
              <w:spacing w:before="6"/>
              <w:rPr>
                <w:rFonts w:ascii="方正小标宋简体"/>
                <w:sz w:val="16"/>
              </w:rPr>
            </w:pPr>
          </w:p>
          <w:p>
            <w:pPr>
              <w:pStyle w:val="11"/>
              <w:ind w:left="498"/>
              <w:rPr>
                <w:rFonts w:hint="eastAsia" w:ascii="楷体_GB2312" w:eastAsia="楷体_GB2312"/>
                <w:sz w:val="21"/>
              </w:rPr>
            </w:pPr>
          </w:p>
          <w:p>
            <w:pPr>
              <w:pStyle w:val="11"/>
              <w:ind w:left="498"/>
              <w:rPr>
                <w:rFonts w:hint="eastAsia" w:ascii="楷体_GB2312" w:eastAsia="楷体_GB2312"/>
                <w:sz w:val="21"/>
              </w:rPr>
            </w:pPr>
          </w:p>
          <w:p>
            <w:pPr>
              <w:pStyle w:val="11"/>
              <w:ind w:left="498"/>
              <w:rPr>
                <w:rFonts w:hint="eastAsia" w:ascii="楷体_GB2312" w:eastAsia="楷体_GB2312"/>
                <w:sz w:val="21"/>
              </w:rPr>
            </w:pPr>
            <w:r>
              <w:rPr>
                <w:rFonts w:hint="eastAsia" w:ascii="楷体_GB2312" w:eastAsia="楷体_GB2312"/>
                <w:sz w:val="21"/>
              </w:rPr>
              <w:t>人民调解</w:t>
            </w:r>
          </w:p>
        </w:tc>
        <w:tc>
          <w:tcPr>
            <w:tcW w:w="2865" w:type="dxa"/>
            <w:tcBorders>
              <w:right w:val="single" w:color="auto" w:sz="4" w:space="0"/>
            </w:tcBorders>
          </w:tcPr>
          <w:p>
            <w:pPr>
              <w:pStyle w:val="11"/>
              <w:spacing w:before="9"/>
              <w:rPr>
                <w:rFonts w:ascii="方正小标宋简体"/>
                <w:sz w:val="20"/>
              </w:rPr>
            </w:pPr>
          </w:p>
          <w:p>
            <w:pPr>
              <w:pStyle w:val="11"/>
              <w:ind w:left="103"/>
              <w:rPr>
                <w:sz w:val="21"/>
              </w:rPr>
            </w:pPr>
          </w:p>
          <w:p>
            <w:pPr>
              <w:pStyle w:val="11"/>
              <w:ind w:left="103"/>
              <w:rPr>
                <w:sz w:val="21"/>
              </w:rPr>
            </w:pPr>
            <w:r>
              <w:rPr>
                <w:sz w:val="21"/>
              </w:rPr>
              <w:t>1.强化便民服务措施</w:t>
            </w:r>
          </w:p>
        </w:tc>
        <w:tc>
          <w:tcPr>
            <w:tcW w:w="6105" w:type="dxa"/>
            <w:tcBorders>
              <w:top w:val="single" w:color="auto" w:sz="4" w:space="0"/>
              <w:left w:val="single" w:color="auto" w:sz="4" w:space="0"/>
              <w:bottom w:val="single" w:color="auto" w:sz="4" w:space="0"/>
              <w:right w:val="single" w:color="auto" w:sz="4" w:space="0"/>
            </w:tcBorders>
          </w:tcPr>
          <w:p>
            <w:pPr>
              <w:pStyle w:val="11"/>
              <w:spacing w:before="89" w:line="242" w:lineRule="auto"/>
              <w:ind w:left="107" w:right="158"/>
              <w:jc w:val="both"/>
              <w:rPr>
                <w:rFonts w:hint="eastAsia"/>
                <w:sz w:val="21"/>
                <w:lang w:val="en-US" w:eastAsia="zh-CN"/>
              </w:rPr>
            </w:pPr>
          </w:p>
          <w:p>
            <w:pPr>
              <w:pStyle w:val="11"/>
              <w:spacing w:before="89" w:line="242" w:lineRule="auto"/>
              <w:ind w:left="107" w:right="158"/>
              <w:jc w:val="both"/>
              <w:rPr>
                <w:rFonts w:hint="eastAsia"/>
                <w:sz w:val="21"/>
                <w:lang w:val="en-US" w:eastAsia="zh-CN"/>
              </w:rPr>
            </w:pPr>
            <w:r>
              <w:rPr>
                <w:rFonts w:hint="eastAsia"/>
                <w:sz w:val="21"/>
                <w:lang w:val="en-US" w:eastAsia="zh-CN"/>
              </w:rPr>
              <w:t>推行矛盾纠纷“六排查三结合”制度，聚焦重点人群、重点领域，全面开展隐患排查工作。完善矛盾纠纷排查预警机制，建立因人预防、因地预防、因事预防、因时预防等预防机制。</w:t>
            </w:r>
          </w:p>
          <w:p>
            <w:pPr>
              <w:pStyle w:val="11"/>
              <w:spacing w:before="89" w:line="242" w:lineRule="auto"/>
              <w:ind w:left="107" w:right="158"/>
              <w:jc w:val="both"/>
              <w:rPr>
                <w:rFonts w:hint="eastAsia"/>
                <w:sz w:val="21"/>
                <w:lang w:val="en-US" w:eastAsia="zh-CN"/>
              </w:rPr>
            </w:pPr>
          </w:p>
        </w:tc>
        <w:tc>
          <w:tcPr>
            <w:tcW w:w="1260" w:type="dxa"/>
            <w:tcBorders>
              <w:top w:val="single" w:color="auto" w:sz="4" w:space="0"/>
              <w:left w:val="single" w:color="auto" w:sz="4" w:space="0"/>
              <w:bottom w:val="single" w:color="auto" w:sz="4" w:space="0"/>
              <w:right w:val="single" w:color="auto" w:sz="4" w:space="0"/>
            </w:tcBorders>
          </w:tcPr>
          <w:p>
            <w:pPr>
              <w:pStyle w:val="11"/>
              <w:spacing w:before="9"/>
              <w:rPr>
                <w:rFonts w:ascii="方正小标宋简体"/>
                <w:sz w:val="20"/>
              </w:rPr>
            </w:pPr>
          </w:p>
          <w:p>
            <w:pPr>
              <w:pStyle w:val="11"/>
              <w:ind w:left="196" w:right="186"/>
              <w:jc w:val="center"/>
              <w:rPr>
                <w:rFonts w:hint="eastAsia"/>
                <w:sz w:val="21"/>
                <w:lang w:eastAsia="zh-CN"/>
              </w:rPr>
            </w:pPr>
          </w:p>
          <w:p>
            <w:pPr>
              <w:pStyle w:val="11"/>
              <w:ind w:left="196" w:right="186"/>
              <w:jc w:val="center"/>
              <w:rPr>
                <w:sz w:val="21"/>
              </w:rPr>
            </w:pPr>
            <w:r>
              <w:rPr>
                <w:rFonts w:hint="eastAsia"/>
                <w:sz w:val="21"/>
                <w:lang w:eastAsia="zh-CN"/>
              </w:rPr>
              <w:t>张明权</w:t>
            </w:r>
          </w:p>
        </w:tc>
        <w:tc>
          <w:tcPr>
            <w:tcW w:w="1200" w:type="dxa"/>
            <w:tcBorders>
              <w:left w:val="single" w:color="auto" w:sz="4" w:space="0"/>
            </w:tcBorders>
          </w:tcPr>
          <w:p>
            <w:pPr>
              <w:pStyle w:val="11"/>
              <w:spacing w:before="9"/>
              <w:rPr>
                <w:rFonts w:ascii="方正小标宋简体"/>
                <w:sz w:val="20"/>
              </w:rPr>
            </w:pPr>
          </w:p>
          <w:p>
            <w:pPr>
              <w:pStyle w:val="11"/>
              <w:ind w:left="161" w:right="157"/>
              <w:jc w:val="center"/>
              <w:rPr>
                <w:sz w:val="21"/>
              </w:rPr>
            </w:pPr>
          </w:p>
          <w:p>
            <w:pPr>
              <w:pStyle w:val="11"/>
              <w:ind w:left="161" w:right="157"/>
              <w:jc w:val="center"/>
              <w:rPr>
                <w:sz w:val="21"/>
              </w:rPr>
            </w:pPr>
            <w:r>
              <w:rPr>
                <w:sz w:val="21"/>
              </w:rPr>
              <w:t>人</w:t>
            </w:r>
            <w:r>
              <w:rPr>
                <w:rFonts w:hint="eastAsia"/>
                <w:sz w:val="21"/>
                <w:lang w:eastAsia="zh-CN"/>
              </w:rPr>
              <w:t>民</w:t>
            </w:r>
            <w:r>
              <w:rPr>
                <w:sz w:val="21"/>
              </w:rPr>
              <w:t>参</w:t>
            </w:r>
            <w:r>
              <w:rPr>
                <w:rFonts w:hint="eastAsia"/>
                <w:sz w:val="21"/>
                <w:lang w:eastAsia="zh-CN"/>
              </w:rPr>
              <w:t>与和促进法治股</w:t>
            </w:r>
          </w:p>
        </w:tc>
        <w:tc>
          <w:tcPr>
            <w:tcW w:w="1095" w:type="dxa"/>
          </w:tcPr>
          <w:p>
            <w:pPr>
              <w:pStyle w:val="11"/>
              <w:spacing w:before="9"/>
              <w:rPr>
                <w:rFonts w:ascii="方正小标宋简体"/>
                <w:sz w:val="20"/>
              </w:rPr>
            </w:pPr>
          </w:p>
          <w:p>
            <w:pPr>
              <w:pStyle w:val="11"/>
              <w:ind w:left="123" w:right="119"/>
              <w:jc w:val="center"/>
              <w:rPr>
                <w:sz w:val="21"/>
              </w:rPr>
            </w:pPr>
          </w:p>
          <w:p>
            <w:pPr>
              <w:pStyle w:val="11"/>
              <w:ind w:left="123" w:right="119"/>
              <w:jc w:val="center"/>
              <w:rPr>
                <w:sz w:val="21"/>
              </w:rPr>
            </w:pPr>
            <w:r>
              <w:rPr>
                <w:sz w:val="21"/>
              </w:rPr>
              <w:t>12月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1820" w:type="dxa"/>
            <w:vMerge w:val="continue"/>
            <w:tcBorders>
              <w:top w:val="nil"/>
            </w:tcBorders>
          </w:tcPr>
          <w:p>
            <w:pPr>
              <w:rPr>
                <w:sz w:val="2"/>
                <w:szCs w:val="2"/>
              </w:rPr>
            </w:pPr>
          </w:p>
        </w:tc>
        <w:tc>
          <w:tcPr>
            <w:tcW w:w="2865" w:type="dxa"/>
          </w:tcPr>
          <w:p>
            <w:pPr>
              <w:pStyle w:val="11"/>
              <w:spacing w:before="4"/>
              <w:rPr>
                <w:rFonts w:ascii="方正小标宋简体"/>
                <w:sz w:val="20"/>
              </w:rPr>
            </w:pPr>
          </w:p>
          <w:p>
            <w:pPr>
              <w:pStyle w:val="11"/>
              <w:spacing w:line="242" w:lineRule="auto"/>
              <w:ind w:left="103" w:right="195"/>
              <w:rPr>
                <w:sz w:val="21"/>
              </w:rPr>
            </w:pPr>
          </w:p>
          <w:p>
            <w:pPr>
              <w:pStyle w:val="11"/>
              <w:spacing w:line="242" w:lineRule="auto"/>
              <w:ind w:left="103" w:right="195"/>
              <w:rPr>
                <w:sz w:val="21"/>
              </w:rPr>
            </w:pPr>
            <w:r>
              <w:rPr>
                <w:sz w:val="21"/>
              </w:rPr>
              <w:t>2.加大矛盾纠纷排查化解力度</w:t>
            </w:r>
          </w:p>
        </w:tc>
        <w:tc>
          <w:tcPr>
            <w:tcW w:w="6105" w:type="dxa"/>
            <w:tcBorders>
              <w:top w:val="single" w:color="auto" w:sz="4" w:space="0"/>
            </w:tcBorders>
          </w:tcPr>
          <w:p>
            <w:pPr>
              <w:pStyle w:val="11"/>
              <w:spacing w:before="7"/>
              <w:rPr>
                <w:rFonts w:hint="eastAsia" w:ascii="方正小标宋简体"/>
                <w:sz w:val="20"/>
                <w:lang w:val="en-US" w:eastAsia="zh-CN"/>
              </w:rPr>
            </w:pPr>
          </w:p>
          <w:p>
            <w:pPr>
              <w:pStyle w:val="11"/>
              <w:spacing w:before="7"/>
              <w:rPr>
                <w:rFonts w:hint="eastAsia" w:ascii="方正小标宋简体"/>
                <w:sz w:val="20"/>
                <w:lang w:val="en-US" w:eastAsia="zh-CN"/>
              </w:rPr>
            </w:pPr>
            <w:r>
              <w:rPr>
                <w:rFonts w:hint="eastAsia" w:ascii="方正小标宋简体"/>
                <w:sz w:val="20"/>
                <w:lang w:val="en-US" w:eastAsia="zh-CN"/>
              </w:rPr>
              <w:t>对重大疑难复杂矛盾纠纷、涉法涉诉信访案件，整合多方力量，及时联系第三方人民调解团、专业性行业性调解组织，发挥自身优势和专业特长，采取有效措施，积极做好稳控化解工作，坚决消除诱发命案等重大案事件因素。</w:t>
            </w:r>
          </w:p>
          <w:p>
            <w:pPr>
              <w:pStyle w:val="11"/>
              <w:spacing w:before="7"/>
              <w:rPr>
                <w:rFonts w:hint="eastAsia" w:ascii="方正小标宋简体"/>
                <w:sz w:val="20"/>
                <w:lang w:val="en-US" w:eastAsia="zh-CN"/>
              </w:rPr>
            </w:pPr>
          </w:p>
        </w:tc>
        <w:tc>
          <w:tcPr>
            <w:tcW w:w="1260" w:type="dxa"/>
            <w:tcBorders>
              <w:top w:val="single" w:color="auto" w:sz="4" w:space="0"/>
            </w:tcBorders>
          </w:tcPr>
          <w:p>
            <w:pPr>
              <w:pStyle w:val="11"/>
              <w:ind w:left="196" w:right="186"/>
              <w:jc w:val="center"/>
              <w:rPr>
                <w:rFonts w:hint="eastAsia"/>
                <w:sz w:val="21"/>
                <w:lang w:eastAsia="zh-CN"/>
              </w:rPr>
            </w:pPr>
          </w:p>
          <w:p>
            <w:pPr>
              <w:pStyle w:val="11"/>
              <w:ind w:right="186" w:firstLine="210" w:firstLineChars="100"/>
              <w:jc w:val="both"/>
              <w:rPr>
                <w:rFonts w:hint="eastAsia"/>
                <w:sz w:val="21"/>
                <w:lang w:eastAsia="zh-CN"/>
              </w:rPr>
            </w:pPr>
          </w:p>
          <w:p>
            <w:pPr>
              <w:pStyle w:val="11"/>
              <w:ind w:right="186" w:firstLine="210" w:firstLineChars="100"/>
              <w:jc w:val="both"/>
              <w:rPr>
                <w:sz w:val="21"/>
              </w:rPr>
            </w:pPr>
            <w:r>
              <w:rPr>
                <w:rFonts w:hint="eastAsia"/>
                <w:sz w:val="21"/>
                <w:lang w:eastAsia="zh-CN"/>
              </w:rPr>
              <w:t>张明权</w:t>
            </w:r>
          </w:p>
        </w:tc>
        <w:tc>
          <w:tcPr>
            <w:tcW w:w="1200" w:type="dxa"/>
          </w:tcPr>
          <w:p>
            <w:pPr>
              <w:pStyle w:val="11"/>
              <w:ind w:left="161" w:right="157"/>
              <w:jc w:val="center"/>
              <w:rPr>
                <w:sz w:val="21"/>
              </w:rPr>
            </w:pPr>
          </w:p>
          <w:p>
            <w:pPr>
              <w:pStyle w:val="11"/>
              <w:ind w:left="161" w:right="157"/>
              <w:jc w:val="center"/>
              <w:rPr>
                <w:sz w:val="21"/>
              </w:rPr>
            </w:pPr>
          </w:p>
          <w:p>
            <w:pPr>
              <w:pStyle w:val="11"/>
              <w:ind w:left="161" w:right="157"/>
              <w:jc w:val="center"/>
              <w:rPr>
                <w:sz w:val="21"/>
              </w:rPr>
            </w:pPr>
            <w:r>
              <w:rPr>
                <w:sz w:val="21"/>
              </w:rPr>
              <w:t>人</w:t>
            </w:r>
            <w:r>
              <w:rPr>
                <w:rFonts w:hint="eastAsia"/>
                <w:sz w:val="21"/>
                <w:lang w:eastAsia="zh-CN"/>
              </w:rPr>
              <w:t>民</w:t>
            </w:r>
            <w:r>
              <w:rPr>
                <w:sz w:val="21"/>
              </w:rPr>
              <w:t>参</w:t>
            </w:r>
            <w:r>
              <w:rPr>
                <w:rFonts w:hint="eastAsia"/>
                <w:sz w:val="21"/>
                <w:lang w:eastAsia="zh-CN"/>
              </w:rPr>
              <w:t>与和促进法治股</w:t>
            </w:r>
          </w:p>
        </w:tc>
        <w:tc>
          <w:tcPr>
            <w:tcW w:w="1095" w:type="dxa"/>
          </w:tcPr>
          <w:p>
            <w:pPr>
              <w:pStyle w:val="11"/>
              <w:spacing w:before="17"/>
              <w:rPr>
                <w:rFonts w:ascii="方正小标宋简体"/>
                <w:sz w:val="27"/>
              </w:rPr>
            </w:pPr>
          </w:p>
          <w:p>
            <w:pPr>
              <w:pStyle w:val="11"/>
              <w:ind w:left="123" w:right="119"/>
              <w:jc w:val="center"/>
              <w:rPr>
                <w:sz w:val="21"/>
              </w:rPr>
            </w:pPr>
            <w:r>
              <w:rPr>
                <w:sz w:val="21"/>
              </w:rPr>
              <w:t>12月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7" w:hRule="atLeast"/>
        </w:trPr>
        <w:tc>
          <w:tcPr>
            <w:tcW w:w="1820" w:type="dxa"/>
            <w:vMerge w:val="restart"/>
          </w:tcPr>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jc w:val="center"/>
              <w:rPr>
                <w:rFonts w:hint="eastAsia" w:ascii="楷体_GB2312" w:eastAsia="楷体_GB2312"/>
                <w:sz w:val="21"/>
              </w:rPr>
            </w:pPr>
          </w:p>
          <w:p>
            <w:pPr>
              <w:pStyle w:val="11"/>
              <w:jc w:val="center"/>
              <w:rPr>
                <w:rFonts w:hint="eastAsia" w:ascii="楷体_GB2312" w:eastAsia="楷体_GB2312"/>
                <w:sz w:val="21"/>
              </w:rPr>
            </w:pPr>
          </w:p>
          <w:p>
            <w:pPr>
              <w:pStyle w:val="11"/>
              <w:jc w:val="center"/>
              <w:rPr>
                <w:rFonts w:hint="eastAsia" w:ascii="楷体_GB2312" w:eastAsia="楷体_GB2312"/>
                <w:sz w:val="21"/>
              </w:rPr>
            </w:pPr>
          </w:p>
          <w:p>
            <w:pPr>
              <w:pStyle w:val="11"/>
              <w:jc w:val="center"/>
              <w:rPr>
                <w:rFonts w:ascii="Times New Roman"/>
                <w:sz w:val="20"/>
              </w:rPr>
            </w:pPr>
            <w:r>
              <w:rPr>
                <w:rFonts w:hint="eastAsia" w:ascii="楷体_GB2312" w:eastAsia="楷体_GB2312"/>
                <w:sz w:val="21"/>
              </w:rPr>
              <w:t>安全生产</w:t>
            </w:r>
          </w:p>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spacing w:before="155"/>
              <w:ind w:left="498"/>
              <w:rPr>
                <w:rFonts w:hint="eastAsia" w:ascii="楷体_GB2312" w:eastAsia="楷体_GB2312"/>
                <w:sz w:val="21"/>
              </w:rPr>
            </w:pPr>
          </w:p>
        </w:tc>
        <w:tc>
          <w:tcPr>
            <w:tcW w:w="2865" w:type="dxa"/>
          </w:tcPr>
          <w:p>
            <w:pPr>
              <w:pStyle w:val="11"/>
              <w:rPr>
                <w:rFonts w:ascii="Times New Roman"/>
                <w:sz w:val="20"/>
              </w:rPr>
            </w:pPr>
          </w:p>
          <w:p>
            <w:pPr>
              <w:pStyle w:val="11"/>
              <w:rPr>
                <w:rFonts w:ascii="Times New Roman"/>
                <w:sz w:val="20"/>
              </w:rPr>
            </w:pPr>
          </w:p>
          <w:p>
            <w:pPr>
              <w:pStyle w:val="11"/>
              <w:spacing w:before="174"/>
              <w:ind w:left="108"/>
              <w:rPr>
                <w:sz w:val="21"/>
              </w:rPr>
            </w:pPr>
            <w:r>
              <w:rPr>
                <w:sz w:val="21"/>
              </w:rPr>
              <w:t>1.预防自然灾害</w:t>
            </w:r>
          </w:p>
        </w:tc>
        <w:tc>
          <w:tcPr>
            <w:tcW w:w="6105" w:type="dxa"/>
          </w:tcPr>
          <w:p>
            <w:pPr>
              <w:pStyle w:val="11"/>
              <w:rPr>
                <w:rFonts w:ascii="Times New Roman"/>
                <w:sz w:val="20"/>
              </w:rPr>
            </w:pPr>
          </w:p>
          <w:p>
            <w:pPr>
              <w:pStyle w:val="11"/>
              <w:spacing w:before="3"/>
              <w:rPr>
                <w:rFonts w:ascii="Times New Roman"/>
                <w:sz w:val="23"/>
              </w:rPr>
            </w:pPr>
          </w:p>
          <w:p>
            <w:pPr>
              <w:pStyle w:val="11"/>
              <w:spacing w:line="244" w:lineRule="auto"/>
              <w:ind w:left="108" w:right="-15"/>
              <w:rPr>
                <w:sz w:val="21"/>
              </w:rPr>
            </w:pPr>
            <w:r>
              <w:rPr>
                <w:spacing w:val="-3"/>
                <w:sz w:val="21"/>
              </w:rPr>
              <w:t>定期会商，建立预报预警机制和应急响应机制，制定科学有效</w:t>
            </w:r>
            <w:r>
              <w:rPr>
                <w:spacing w:val="-7"/>
                <w:sz w:val="21"/>
              </w:rPr>
              <w:t>的应对方案，开展重点时段、重点场所、重点人群的防范检查。</w:t>
            </w:r>
          </w:p>
        </w:tc>
        <w:tc>
          <w:tcPr>
            <w:tcW w:w="1260" w:type="dxa"/>
            <w:vAlign w:val="top"/>
          </w:tcPr>
          <w:p>
            <w:pPr>
              <w:pStyle w:val="11"/>
              <w:spacing w:before="9"/>
              <w:rPr>
                <w:rFonts w:ascii="方正小标宋简体"/>
                <w:sz w:val="20"/>
              </w:rPr>
            </w:pPr>
          </w:p>
          <w:p>
            <w:pPr>
              <w:pStyle w:val="11"/>
              <w:spacing w:before="9"/>
              <w:rPr>
                <w:rFonts w:ascii="方正小标宋简体"/>
                <w:sz w:val="20"/>
              </w:rPr>
            </w:pPr>
          </w:p>
          <w:p>
            <w:pPr>
              <w:pStyle w:val="11"/>
              <w:ind w:left="196" w:leftChars="0" w:right="186" w:rightChars="0"/>
              <w:jc w:val="center"/>
              <w:rPr>
                <w:rFonts w:hint="default" w:ascii="仿宋_GB2312" w:hAnsi="仿宋_GB2312" w:eastAsia="仿宋_GB2312" w:cs="仿宋_GB2312"/>
                <w:sz w:val="21"/>
                <w:szCs w:val="22"/>
                <w:lang w:val="en-US" w:eastAsia="zh-CN" w:bidi="zh-CN"/>
              </w:rPr>
            </w:pPr>
            <w:r>
              <w:rPr>
                <w:rFonts w:hint="eastAsia"/>
                <w:sz w:val="21"/>
                <w:lang w:eastAsia="zh-CN"/>
              </w:rPr>
              <w:t>强红霞</w:t>
            </w:r>
          </w:p>
        </w:tc>
        <w:tc>
          <w:tcPr>
            <w:tcW w:w="1200" w:type="dxa"/>
            <w:vAlign w:val="top"/>
          </w:tcPr>
          <w:p>
            <w:pPr>
              <w:pStyle w:val="11"/>
              <w:spacing w:before="9"/>
              <w:rPr>
                <w:rFonts w:ascii="方正小标宋简体"/>
                <w:sz w:val="20"/>
              </w:rPr>
            </w:pPr>
          </w:p>
          <w:p>
            <w:pPr>
              <w:pStyle w:val="11"/>
              <w:ind w:left="161" w:leftChars="0" w:right="157" w:rightChars="0"/>
              <w:jc w:val="center"/>
              <w:rPr>
                <w:rFonts w:hint="eastAsia"/>
                <w:sz w:val="21"/>
                <w:lang w:eastAsia="zh-CN"/>
              </w:rPr>
            </w:pPr>
          </w:p>
          <w:p>
            <w:pPr>
              <w:pStyle w:val="11"/>
              <w:ind w:left="161" w:leftChars="0" w:right="157" w:rightChars="0"/>
              <w:jc w:val="center"/>
              <w:rPr>
                <w:rFonts w:hint="eastAsia" w:ascii="仿宋_GB2312" w:hAnsi="仿宋_GB2312" w:eastAsia="仿宋_GB2312" w:cs="仿宋_GB2312"/>
                <w:sz w:val="21"/>
                <w:szCs w:val="22"/>
                <w:lang w:val="zh-CN" w:eastAsia="zh-CN" w:bidi="zh-CN"/>
              </w:rPr>
            </w:pPr>
            <w:r>
              <w:rPr>
                <w:rFonts w:hint="eastAsia"/>
                <w:sz w:val="21"/>
                <w:lang w:eastAsia="zh-CN"/>
              </w:rPr>
              <w:t>办公室</w:t>
            </w:r>
          </w:p>
        </w:tc>
        <w:tc>
          <w:tcPr>
            <w:tcW w:w="1095" w:type="dxa"/>
          </w:tcPr>
          <w:p>
            <w:pPr>
              <w:pStyle w:val="11"/>
              <w:rPr>
                <w:rFonts w:ascii="Times New Roman"/>
                <w:sz w:val="20"/>
              </w:rPr>
            </w:pPr>
          </w:p>
          <w:p>
            <w:pPr>
              <w:pStyle w:val="11"/>
              <w:spacing w:before="174"/>
              <w:ind w:right="315"/>
              <w:jc w:val="right"/>
              <w:rPr>
                <w:sz w:val="21"/>
              </w:rPr>
            </w:pPr>
            <w:r>
              <w:rPr>
                <w:sz w:val="21"/>
              </w:rPr>
              <w:t>12月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2" w:hRule="atLeast"/>
        </w:trPr>
        <w:tc>
          <w:tcPr>
            <w:tcW w:w="1820" w:type="dxa"/>
            <w:vMerge w:val="continue"/>
            <w:tcBorders>
              <w:top w:val="nil"/>
            </w:tcBorders>
          </w:tcPr>
          <w:p>
            <w:pPr>
              <w:rPr>
                <w:sz w:val="2"/>
                <w:szCs w:val="2"/>
              </w:rPr>
            </w:pPr>
          </w:p>
        </w:tc>
        <w:tc>
          <w:tcPr>
            <w:tcW w:w="2865" w:type="dxa"/>
          </w:tcPr>
          <w:p>
            <w:pPr>
              <w:pStyle w:val="11"/>
              <w:spacing w:before="4"/>
              <w:rPr>
                <w:rFonts w:ascii="Times New Roman"/>
                <w:sz w:val="27"/>
              </w:rPr>
            </w:pPr>
          </w:p>
          <w:p>
            <w:pPr>
              <w:pStyle w:val="11"/>
              <w:spacing w:before="1"/>
              <w:ind w:left="108"/>
              <w:rPr>
                <w:sz w:val="21"/>
              </w:rPr>
            </w:pPr>
            <w:r>
              <w:rPr>
                <w:sz w:val="21"/>
              </w:rPr>
              <w:t>2.消防应急演练</w:t>
            </w:r>
          </w:p>
        </w:tc>
        <w:tc>
          <w:tcPr>
            <w:tcW w:w="6105" w:type="dxa"/>
          </w:tcPr>
          <w:p>
            <w:pPr>
              <w:pStyle w:val="11"/>
              <w:spacing w:before="8"/>
              <w:rPr>
                <w:rFonts w:ascii="Times New Roman"/>
                <w:sz w:val="15"/>
              </w:rPr>
            </w:pPr>
          </w:p>
          <w:p>
            <w:pPr>
              <w:pStyle w:val="11"/>
              <w:spacing w:line="242" w:lineRule="auto"/>
              <w:ind w:left="108" w:right="156"/>
              <w:rPr>
                <w:sz w:val="21"/>
              </w:rPr>
            </w:pPr>
            <w:r>
              <w:rPr>
                <w:sz w:val="21"/>
              </w:rPr>
              <w:t>完善和健全消防设施，开展消防知识全员培训，开展消防应急演练活动，提高消防安全防范水平。</w:t>
            </w:r>
          </w:p>
        </w:tc>
        <w:tc>
          <w:tcPr>
            <w:tcW w:w="1260" w:type="dxa"/>
            <w:vAlign w:val="top"/>
          </w:tcPr>
          <w:p>
            <w:pPr>
              <w:pStyle w:val="11"/>
              <w:spacing w:before="9"/>
              <w:rPr>
                <w:rFonts w:ascii="方正小标宋简体"/>
                <w:sz w:val="20"/>
              </w:rPr>
            </w:pPr>
          </w:p>
          <w:p>
            <w:pPr>
              <w:pStyle w:val="11"/>
              <w:ind w:left="196" w:leftChars="0" w:right="186" w:rightChars="0"/>
              <w:jc w:val="center"/>
              <w:rPr>
                <w:rFonts w:hint="default" w:ascii="仿宋_GB2312" w:hAnsi="仿宋_GB2312" w:eastAsia="仿宋_GB2312" w:cs="仿宋_GB2312"/>
                <w:sz w:val="21"/>
                <w:szCs w:val="22"/>
                <w:lang w:val="en-US" w:eastAsia="zh-CN" w:bidi="zh-CN"/>
              </w:rPr>
            </w:pPr>
            <w:r>
              <w:rPr>
                <w:rFonts w:hint="eastAsia"/>
                <w:sz w:val="21"/>
                <w:lang w:eastAsia="zh-CN"/>
              </w:rPr>
              <w:t>强红霞</w:t>
            </w:r>
          </w:p>
        </w:tc>
        <w:tc>
          <w:tcPr>
            <w:tcW w:w="1200" w:type="dxa"/>
            <w:vAlign w:val="top"/>
          </w:tcPr>
          <w:p>
            <w:pPr>
              <w:pStyle w:val="11"/>
              <w:ind w:left="161" w:leftChars="0" w:right="157" w:rightChars="0"/>
              <w:jc w:val="center"/>
              <w:rPr>
                <w:rFonts w:hint="eastAsia"/>
                <w:sz w:val="21"/>
                <w:lang w:eastAsia="zh-CN"/>
              </w:rPr>
            </w:pPr>
          </w:p>
          <w:p>
            <w:pPr>
              <w:pStyle w:val="11"/>
              <w:ind w:left="161" w:leftChars="0" w:right="157" w:rightChars="0"/>
              <w:jc w:val="center"/>
              <w:rPr>
                <w:rFonts w:hint="eastAsia" w:ascii="仿宋_GB2312" w:hAnsi="仿宋_GB2312" w:eastAsia="仿宋_GB2312" w:cs="仿宋_GB2312"/>
                <w:sz w:val="21"/>
                <w:szCs w:val="22"/>
                <w:lang w:val="zh-CN" w:eastAsia="zh-CN" w:bidi="zh-CN"/>
              </w:rPr>
            </w:pPr>
            <w:r>
              <w:rPr>
                <w:rFonts w:hint="eastAsia"/>
                <w:sz w:val="21"/>
                <w:lang w:eastAsia="zh-CN"/>
              </w:rPr>
              <w:t>办公室</w:t>
            </w:r>
          </w:p>
        </w:tc>
        <w:tc>
          <w:tcPr>
            <w:tcW w:w="1095" w:type="dxa"/>
          </w:tcPr>
          <w:p>
            <w:pPr>
              <w:pStyle w:val="11"/>
              <w:spacing w:before="4"/>
              <w:rPr>
                <w:rFonts w:ascii="Times New Roman"/>
                <w:sz w:val="27"/>
              </w:rPr>
            </w:pPr>
          </w:p>
          <w:p>
            <w:pPr>
              <w:pStyle w:val="11"/>
              <w:spacing w:before="1"/>
              <w:ind w:left="383"/>
              <w:rPr>
                <w:sz w:val="21"/>
              </w:rPr>
            </w:pPr>
            <w:r>
              <w:rPr>
                <w:sz w:val="21"/>
              </w:rPr>
              <w:t>7月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6" w:hRule="atLeast"/>
        </w:trPr>
        <w:tc>
          <w:tcPr>
            <w:tcW w:w="1820" w:type="dxa"/>
            <w:vMerge w:val="continue"/>
            <w:tcBorders>
              <w:top w:val="nil"/>
            </w:tcBorders>
          </w:tcPr>
          <w:p>
            <w:pPr>
              <w:rPr>
                <w:sz w:val="2"/>
                <w:szCs w:val="2"/>
              </w:rPr>
            </w:pPr>
          </w:p>
        </w:tc>
        <w:tc>
          <w:tcPr>
            <w:tcW w:w="2865" w:type="dxa"/>
          </w:tcPr>
          <w:p>
            <w:pPr>
              <w:pStyle w:val="11"/>
              <w:rPr>
                <w:rFonts w:ascii="Times New Roman"/>
                <w:sz w:val="20"/>
              </w:rPr>
            </w:pPr>
          </w:p>
          <w:p>
            <w:pPr>
              <w:pStyle w:val="11"/>
              <w:spacing w:before="148"/>
              <w:ind w:left="108"/>
              <w:rPr>
                <w:sz w:val="21"/>
              </w:rPr>
            </w:pPr>
            <w:r>
              <w:rPr>
                <w:sz w:val="21"/>
              </w:rPr>
              <w:t>3.开展安全生产隐患排查</w:t>
            </w:r>
          </w:p>
        </w:tc>
        <w:tc>
          <w:tcPr>
            <w:tcW w:w="6105" w:type="dxa"/>
          </w:tcPr>
          <w:p>
            <w:pPr>
              <w:pStyle w:val="11"/>
              <w:spacing w:before="1" w:line="242" w:lineRule="auto"/>
              <w:ind w:left="108" w:right="156"/>
              <w:jc w:val="both"/>
              <w:rPr>
                <w:sz w:val="21"/>
              </w:rPr>
            </w:pPr>
          </w:p>
          <w:p>
            <w:pPr>
              <w:pStyle w:val="11"/>
              <w:spacing w:before="1" w:line="242" w:lineRule="auto"/>
              <w:ind w:left="108" w:right="156"/>
              <w:jc w:val="both"/>
              <w:rPr>
                <w:sz w:val="21"/>
              </w:rPr>
            </w:pPr>
            <w:r>
              <w:rPr>
                <w:sz w:val="21"/>
              </w:rPr>
              <w:t>做好重点场所、重点部位、重点人群、重点环节、重点时段、重点物品的有效监管，开展隐患排查，深化隐患治理，强化应急处置，增强基础保障能力，筑牢安全防线。</w:t>
            </w:r>
          </w:p>
        </w:tc>
        <w:tc>
          <w:tcPr>
            <w:tcW w:w="1260" w:type="dxa"/>
            <w:vAlign w:val="top"/>
          </w:tcPr>
          <w:p>
            <w:pPr>
              <w:pStyle w:val="11"/>
              <w:spacing w:before="9"/>
              <w:rPr>
                <w:rFonts w:ascii="方正小标宋简体"/>
                <w:sz w:val="20"/>
              </w:rPr>
            </w:pPr>
          </w:p>
          <w:p>
            <w:pPr>
              <w:pStyle w:val="11"/>
              <w:ind w:left="196" w:leftChars="0" w:right="186" w:rightChars="0"/>
              <w:jc w:val="center"/>
              <w:rPr>
                <w:rFonts w:hint="default" w:ascii="仿宋_GB2312" w:hAnsi="仿宋_GB2312" w:eastAsia="仿宋_GB2312" w:cs="仿宋_GB2312"/>
                <w:sz w:val="21"/>
                <w:szCs w:val="22"/>
                <w:lang w:val="en-US" w:eastAsia="zh-CN" w:bidi="zh-CN"/>
              </w:rPr>
            </w:pPr>
            <w:r>
              <w:rPr>
                <w:rFonts w:hint="eastAsia"/>
                <w:sz w:val="21"/>
                <w:lang w:eastAsia="zh-CN"/>
              </w:rPr>
              <w:t>强红霞</w:t>
            </w:r>
          </w:p>
        </w:tc>
        <w:tc>
          <w:tcPr>
            <w:tcW w:w="1200" w:type="dxa"/>
            <w:vAlign w:val="top"/>
          </w:tcPr>
          <w:p>
            <w:pPr>
              <w:pStyle w:val="11"/>
              <w:ind w:left="161" w:leftChars="0" w:right="157" w:rightChars="0"/>
              <w:jc w:val="center"/>
              <w:rPr>
                <w:rFonts w:hint="eastAsia"/>
                <w:sz w:val="21"/>
                <w:lang w:eastAsia="zh-CN"/>
              </w:rPr>
            </w:pPr>
          </w:p>
          <w:p>
            <w:pPr>
              <w:pStyle w:val="11"/>
              <w:ind w:left="161" w:leftChars="0" w:right="157" w:rightChars="0"/>
              <w:jc w:val="center"/>
              <w:rPr>
                <w:rFonts w:hint="eastAsia" w:ascii="仿宋_GB2312" w:hAnsi="仿宋_GB2312" w:eastAsia="仿宋_GB2312" w:cs="仿宋_GB2312"/>
                <w:sz w:val="21"/>
                <w:szCs w:val="22"/>
                <w:lang w:val="zh-CN" w:eastAsia="zh-CN" w:bidi="zh-CN"/>
              </w:rPr>
            </w:pPr>
            <w:r>
              <w:rPr>
                <w:rFonts w:hint="eastAsia"/>
                <w:sz w:val="21"/>
                <w:lang w:eastAsia="zh-CN"/>
              </w:rPr>
              <w:t>办公室</w:t>
            </w:r>
          </w:p>
        </w:tc>
        <w:tc>
          <w:tcPr>
            <w:tcW w:w="1095" w:type="dxa"/>
            <w:vAlign w:val="top"/>
          </w:tcPr>
          <w:p>
            <w:pPr>
              <w:pStyle w:val="11"/>
              <w:spacing w:before="4"/>
              <w:rPr>
                <w:rFonts w:ascii="Times New Roman"/>
                <w:sz w:val="27"/>
              </w:rPr>
            </w:pPr>
          </w:p>
          <w:p>
            <w:pPr>
              <w:pStyle w:val="11"/>
              <w:spacing w:before="1"/>
              <w:ind w:left="383" w:leftChars="0" w:right="0" w:rightChars="0"/>
              <w:rPr>
                <w:rFonts w:ascii="仿宋_GB2312" w:hAnsi="仿宋_GB2312" w:eastAsia="仿宋_GB2312" w:cs="仿宋_GB2312"/>
                <w:sz w:val="21"/>
                <w:szCs w:val="22"/>
                <w:lang w:val="zh-CN" w:eastAsia="zh-CN" w:bidi="zh-CN"/>
              </w:rPr>
            </w:pPr>
            <w:r>
              <w:rPr>
                <w:rFonts w:hint="eastAsia"/>
                <w:sz w:val="21"/>
                <w:lang w:val="en-US" w:eastAsia="zh-CN"/>
              </w:rPr>
              <w:t>11</w:t>
            </w:r>
            <w:r>
              <w:rPr>
                <w:sz w:val="21"/>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1820" w:type="dxa"/>
            <w:vMerge w:val="continue"/>
            <w:tcBorders>
              <w:top w:val="nil"/>
            </w:tcBorders>
          </w:tcPr>
          <w:p>
            <w:pPr>
              <w:rPr>
                <w:sz w:val="2"/>
                <w:szCs w:val="2"/>
              </w:rPr>
            </w:pPr>
          </w:p>
        </w:tc>
        <w:tc>
          <w:tcPr>
            <w:tcW w:w="2865" w:type="dxa"/>
          </w:tcPr>
          <w:p>
            <w:pPr>
              <w:pStyle w:val="11"/>
              <w:spacing w:before="5"/>
              <w:rPr>
                <w:rFonts w:ascii="Times New Roman"/>
                <w:sz w:val="21"/>
              </w:rPr>
            </w:pPr>
          </w:p>
          <w:p>
            <w:pPr>
              <w:pStyle w:val="11"/>
              <w:ind w:left="108"/>
              <w:rPr>
                <w:sz w:val="21"/>
              </w:rPr>
            </w:pPr>
            <w:r>
              <w:rPr>
                <w:sz w:val="21"/>
              </w:rPr>
              <w:t>4.建立安全生产长效机制</w:t>
            </w:r>
          </w:p>
        </w:tc>
        <w:tc>
          <w:tcPr>
            <w:tcW w:w="6105" w:type="dxa"/>
          </w:tcPr>
          <w:p>
            <w:pPr>
              <w:pStyle w:val="11"/>
              <w:spacing w:line="242" w:lineRule="auto"/>
              <w:ind w:left="108" w:right="156"/>
              <w:rPr>
                <w:sz w:val="21"/>
              </w:rPr>
            </w:pPr>
          </w:p>
          <w:p>
            <w:pPr>
              <w:pStyle w:val="11"/>
              <w:spacing w:line="242" w:lineRule="auto"/>
              <w:ind w:left="108" w:right="156"/>
              <w:rPr>
                <w:sz w:val="21"/>
              </w:rPr>
            </w:pPr>
            <w:r>
              <w:rPr>
                <w:sz w:val="21"/>
              </w:rPr>
              <w:t>进一步查漏补缺，健全安全生产制度，完善安全生产台账，建立安全生产长效机制。</w:t>
            </w:r>
          </w:p>
        </w:tc>
        <w:tc>
          <w:tcPr>
            <w:tcW w:w="1260" w:type="dxa"/>
            <w:vAlign w:val="top"/>
          </w:tcPr>
          <w:p>
            <w:pPr>
              <w:pStyle w:val="11"/>
              <w:spacing w:before="9"/>
              <w:rPr>
                <w:rFonts w:ascii="方正小标宋简体"/>
                <w:sz w:val="20"/>
              </w:rPr>
            </w:pPr>
          </w:p>
          <w:p>
            <w:pPr>
              <w:pStyle w:val="11"/>
              <w:ind w:left="196" w:leftChars="0" w:right="186" w:rightChars="0"/>
              <w:jc w:val="center"/>
              <w:rPr>
                <w:rFonts w:hint="default" w:ascii="仿宋_GB2312" w:hAnsi="仿宋_GB2312" w:eastAsia="仿宋_GB2312" w:cs="仿宋_GB2312"/>
                <w:sz w:val="21"/>
                <w:szCs w:val="22"/>
                <w:lang w:val="en-US" w:eastAsia="zh-CN" w:bidi="zh-CN"/>
              </w:rPr>
            </w:pPr>
            <w:r>
              <w:rPr>
                <w:rFonts w:hint="eastAsia"/>
                <w:sz w:val="21"/>
                <w:lang w:eastAsia="zh-CN"/>
              </w:rPr>
              <w:t>强红霞</w:t>
            </w:r>
          </w:p>
        </w:tc>
        <w:tc>
          <w:tcPr>
            <w:tcW w:w="1200" w:type="dxa"/>
            <w:vAlign w:val="top"/>
          </w:tcPr>
          <w:p>
            <w:pPr>
              <w:pStyle w:val="11"/>
              <w:ind w:left="161" w:leftChars="0" w:right="157" w:rightChars="0"/>
              <w:jc w:val="center"/>
              <w:rPr>
                <w:rFonts w:hint="eastAsia"/>
                <w:sz w:val="21"/>
                <w:lang w:eastAsia="zh-CN"/>
              </w:rPr>
            </w:pPr>
          </w:p>
          <w:p>
            <w:pPr>
              <w:pStyle w:val="11"/>
              <w:ind w:left="161" w:leftChars="0" w:right="157" w:rightChars="0"/>
              <w:jc w:val="center"/>
              <w:rPr>
                <w:rFonts w:hint="eastAsia" w:ascii="仿宋_GB2312" w:hAnsi="仿宋_GB2312" w:eastAsia="仿宋_GB2312" w:cs="仿宋_GB2312"/>
                <w:sz w:val="21"/>
                <w:szCs w:val="22"/>
                <w:lang w:val="zh-CN" w:eastAsia="zh-CN" w:bidi="zh-CN"/>
              </w:rPr>
            </w:pPr>
            <w:r>
              <w:rPr>
                <w:rFonts w:hint="eastAsia"/>
                <w:sz w:val="21"/>
                <w:lang w:eastAsia="zh-CN"/>
              </w:rPr>
              <w:t>办公室</w:t>
            </w:r>
          </w:p>
        </w:tc>
        <w:tc>
          <w:tcPr>
            <w:tcW w:w="1095" w:type="dxa"/>
          </w:tcPr>
          <w:p>
            <w:pPr>
              <w:pStyle w:val="11"/>
              <w:rPr>
                <w:rFonts w:ascii="Times New Roman"/>
                <w:sz w:val="20"/>
              </w:rPr>
            </w:pPr>
          </w:p>
          <w:p>
            <w:pPr>
              <w:pStyle w:val="11"/>
              <w:ind w:left="109" w:firstLine="210" w:firstLineChars="100"/>
              <w:rPr>
                <w:sz w:val="21"/>
              </w:rPr>
            </w:pPr>
            <w:r>
              <w:rPr>
                <w:sz w:val="21"/>
              </w:rPr>
              <w:t>11月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5" w:hRule="atLeast"/>
        </w:trPr>
        <w:tc>
          <w:tcPr>
            <w:tcW w:w="1820" w:type="dxa"/>
            <w:vMerge w:val="restart"/>
          </w:tcPr>
          <w:p>
            <w:pPr>
              <w:pStyle w:val="11"/>
              <w:rPr>
                <w:rFonts w:ascii="Times New Roman"/>
                <w:sz w:val="20"/>
              </w:rPr>
            </w:pPr>
          </w:p>
          <w:p>
            <w:pPr>
              <w:pStyle w:val="11"/>
              <w:rPr>
                <w:rFonts w:ascii="Times New Roman"/>
                <w:sz w:val="20"/>
              </w:rPr>
            </w:pPr>
          </w:p>
          <w:p>
            <w:pPr>
              <w:pStyle w:val="11"/>
              <w:rPr>
                <w:rFonts w:ascii="Times New Roman"/>
                <w:sz w:val="20"/>
              </w:rPr>
            </w:pPr>
          </w:p>
          <w:p>
            <w:pPr>
              <w:pStyle w:val="11"/>
              <w:spacing w:before="9"/>
              <w:rPr>
                <w:rFonts w:ascii="Times New Roman"/>
                <w:sz w:val="23"/>
              </w:rPr>
            </w:pPr>
          </w:p>
          <w:p>
            <w:pPr>
              <w:pStyle w:val="11"/>
              <w:spacing w:before="1"/>
              <w:ind w:left="498"/>
              <w:rPr>
                <w:rFonts w:hint="eastAsia" w:ascii="楷体_GB2312" w:eastAsia="楷体_GB2312"/>
                <w:sz w:val="21"/>
              </w:rPr>
            </w:pPr>
            <w:r>
              <w:rPr>
                <w:rFonts w:hint="eastAsia" w:ascii="楷体_GB2312" w:eastAsia="楷体_GB2312"/>
                <w:sz w:val="21"/>
              </w:rPr>
              <w:t>应急处置</w:t>
            </w:r>
          </w:p>
        </w:tc>
        <w:tc>
          <w:tcPr>
            <w:tcW w:w="2865" w:type="dxa"/>
          </w:tcPr>
          <w:p>
            <w:pPr>
              <w:pStyle w:val="11"/>
              <w:rPr>
                <w:rFonts w:ascii="Times New Roman"/>
                <w:sz w:val="20"/>
              </w:rPr>
            </w:pPr>
          </w:p>
          <w:p>
            <w:pPr>
              <w:pStyle w:val="11"/>
              <w:spacing w:before="148"/>
              <w:ind w:left="108"/>
              <w:rPr>
                <w:sz w:val="21"/>
              </w:rPr>
            </w:pPr>
            <w:r>
              <w:rPr>
                <w:sz w:val="21"/>
              </w:rPr>
              <w:t>1.强化应急值班值守</w:t>
            </w:r>
          </w:p>
        </w:tc>
        <w:tc>
          <w:tcPr>
            <w:tcW w:w="6105" w:type="dxa"/>
          </w:tcPr>
          <w:p>
            <w:pPr>
              <w:pStyle w:val="11"/>
              <w:spacing w:before="11"/>
              <w:rPr>
                <w:rFonts w:ascii="Times New Roman"/>
                <w:sz w:val="20"/>
              </w:rPr>
            </w:pPr>
          </w:p>
          <w:p>
            <w:pPr>
              <w:pStyle w:val="11"/>
              <w:spacing w:line="244" w:lineRule="auto"/>
              <w:ind w:left="108" w:right="-15"/>
              <w:rPr>
                <w:sz w:val="21"/>
              </w:rPr>
            </w:pPr>
            <w:r>
              <w:rPr>
                <w:spacing w:val="-16"/>
                <w:sz w:val="21"/>
              </w:rPr>
              <w:t>压紧压实工作责任，加强舆情管控，严格落实</w:t>
            </w:r>
            <w:r>
              <w:rPr>
                <w:sz w:val="21"/>
              </w:rPr>
              <w:t>24</w:t>
            </w:r>
            <w:r>
              <w:rPr>
                <w:spacing w:val="-7"/>
                <w:sz w:val="21"/>
              </w:rPr>
              <w:t>小时应急值守、</w:t>
            </w:r>
            <w:r>
              <w:rPr>
                <w:spacing w:val="-5"/>
                <w:sz w:val="21"/>
              </w:rPr>
              <w:t>每日“零报告”制度和领导带班值班制度，确保政令畅通。</w:t>
            </w:r>
          </w:p>
        </w:tc>
        <w:tc>
          <w:tcPr>
            <w:tcW w:w="1260" w:type="dxa"/>
            <w:vAlign w:val="top"/>
          </w:tcPr>
          <w:p>
            <w:pPr>
              <w:pStyle w:val="11"/>
              <w:spacing w:before="9"/>
              <w:rPr>
                <w:rFonts w:ascii="方正小标宋简体"/>
                <w:sz w:val="20"/>
              </w:rPr>
            </w:pPr>
          </w:p>
          <w:p>
            <w:pPr>
              <w:pStyle w:val="11"/>
              <w:ind w:left="196" w:leftChars="0" w:right="186" w:rightChars="0"/>
              <w:jc w:val="center"/>
              <w:rPr>
                <w:rFonts w:hint="default" w:ascii="仿宋_GB2312" w:hAnsi="仿宋_GB2312" w:eastAsia="仿宋_GB2312" w:cs="仿宋_GB2312"/>
                <w:sz w:val="21"/>
                <w:szCs w:val="22"/>
                <w:lang w:val="en-US" w:eastAsia="zh-CN" w:bidi="zh-CN"/>
              </w:rPr>
            </w:pPr>
            <w:r>
              <w:rPr>
                <w:rFonts w:hint="eastAsia"/>
                <w:sz w:val="21"/>
                <w:lang w:eastAsia="zh-CN"/>
              </w:rPr>
              <w:t>万宁新</w:t>
            </w:r>
          </w:p>
        </w:tc>
        <w:tc>
          <w:tcPr>
            <w:tcW w:w="1200" w:type="dxa"/>
            <w:vAlign w:val="top"/>
          </w:tcPr>
          <w:p>
            <w:pPr>
              <w:pStyle w:val="11"/>
              <w:ind w:left="161" w:leftChars="0" w:right="157" w:rightChars="0"/>
              <w:jc w:val="center"/>
              <w:rPr>
                <w:rFonts w:hint="eastAsia"/>
                <w:sz w:val="21"/>
                <w:lang w:eastAsia="zh-CN"/>
              </w:rPr>
            </w:pPr>
          </w:p>
          <w:p>
            <w:pPr>
              <w:pStyle w:val="11"/>
              <w:ind w:left="161" w:leftChars="0" w:right="157" w:rightChars="0"/>
              <w:jc w:val="center"/>
              <w:rPr>
                <w:rFonts w:hint="eastAsia" w:ascii="仿宋_GB2312" w:hAnsi="仿宋_GB2312" w:eastAsia="仿宋_GB2312" w:cs="仿宋_GB2312"/>
                <w:sz w:val="21"/>
                <w:szCs w:val="22"/>
                <w:lang w:val="zh-CN" w:eastAsia="zh-CN" w:bidi="zh-CN"/>
              </w:rPr>
            </w:pPr>
            <w:r>
              <w:rPr>
                <w:rFonts w:hint="eastAsia"/>
                <w:sz w:val="21"/>
                <w:lang w:eastAsia="zh-CN"/>
              </w:rPr>
              <w:t>办公室</w:t>
            </w:r>
          </w:p>
        </w:tc>
        <w:tc>
          <w:tcPr>
            <w:tcW w:w="1095" w:type="dxa"/>
          </w:tcPr>
          <w:p>
            <w:pPr>
              <w:pStyle w:val="11"/>
              <w:rPr>
                <w:rFonts w:ascii="Times New Roman"/>
                <w:sz w:val="20"/>
              </w:rPr>
            </w:pPr>
          </w:p>
          <w:p>
            <w:pPr>
              <w:pStyle w:val="11"/>
              <w:spacing w:before="148"/>
              <w:ind w:right="315"/>
              <w:jc w:val="right"/>
              <w:rPr>
                <w:sz w:val="21"/>
              </w:rPr>
            </w:pPr>
            <w:r>
              <w:rPr>
                <w:sz w:val="21"/>
              </w:rPr>
              <w:t>12月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22" w:hRule="atLeast"/>
        </w:trPr>
        <w:tc>
          <w:tcPr>
            <w:tcW w:w="1820" w:type="dxa"/>
            <w:vMerge w:val="continue"/>
            <w:tcBorders>
              <w:top w:val="nil"/>
            </w:tcBorders>
          </w:tcPr>
          <w:p>
            <w:pPr>
              <w:rPr>
                <w:sz w:val="2"/>
                <w:szCs w:val="2"/>
              </w:rPr>
            </w:pPr>
          </w:p>
        </w:tc>
        <w:tc>
          <w:tcPr>
            <w:tcW w:w="2865" w:type="dxa"/>
          </w:tcPr>
          <w:p>
            <w:pPr>
              <w:pStyle w:val="11"/>
              <w:rPr>
                <w:rFonts w:ascii="Times New Roman"/>
                <w:sz w:val="20"/>
              </w:rPr>
            </w:pPr>
          </w:p>
          <w:p>
            <w:pPr>
              <w:pStyle w:val="11"/>
              <w:spacing w:before="9"/>
              <w:rPr>
                <w:rFonts w:ascii="Times New Roman"/>
                <w:sz w:val="18"/>
              </w:rPr>
            </w:pPr>
          </w:p>
          <w:p>
            <w:pPr>
              <w:pStyle w:val="11"/>
              <w:ind w:left="108"/>
              <w:rPr>
                <w:sz w:val="21"/>
              </w:rPr>
            </w:pPr>
            <w:r>
              <w:rPr>
                <w:sz w:val="21"/>
              </w:rPr>
              <w:t>2.落实岗位责任制</w:t>
            </w:r>
          </w:p>
        </w:tc>
        <w:tc>
          <w:tcPr>
            <w:tcW w:w="6105" w:type="dxa"/>
          </w:tcPr>
          <w:p>
            <w:pPr>
              <w:pStyle w:val="11"/>
              <w:spacing w:before="175" w:line="242" w:lineRule="auto"/>
              <w:ind w:left="108" w:right="156"/>
              <w:jc w:val="both"/>
              <w:rPr>
                <w:sz w:val="21"/>
              </w:rPr>
            </w:pPr>
            <w:r>
              <w:rPr>
                <w:sz w:val="21"/>
              </w:rPr>
              <w:t>建立健全工作机制，落实岗位责任制，严格执行安全生产“一岗双责”要求，健全突发事件应急处置机制，不断提升应急处置能力，及时有效处置各类突发事件。</w:t>
            </w:r>
          </w:p>
        </w:tc>
        <w:tc>
          <w:tcPr>
            <w:tcW w:w="1260" w:type="dxa"/>
            <w:vAlign w:val="top"/>
          </w:tcPr>
          <w:p>
            <w:pPr>
              <w:pStyle w:val="11"/>
              <w:spacing w:before="9"/>
              <w:rPr>
                <w:rFonts w:ascii="方正小标宋简体"/>
                <w:sz w:val="20"/>
              </w:rPr>
            </w:pPr>
          </w:p>
          <w:p>
            <w:pPr>
              <w:pStyle w:val="11"/>
              <w:ind w:left="196" w:leftChars="0" w:right="186" w:rightChars="0"/>
              <w:jc w:val="center"/>
              <w:rPr>
                <w:rFonts w:hint="eastAsia"/>
                <w:sz w:val="21"/>
                <w:lang w:eastAsia="zh-CN"/>
              </w:rPr>
            </w:pPr>
          </w:p>
          <w:p>
            <w:pPr>
              <w:pStyle w:val="11"/>
              <w:ind w:left="196" w:leftChars="0" w:right="186" w:rightChars="0"/>
              <w:jc w:val="center"/>
              <w:rPr>
                <w:rFonts w:hint="default" w:ascii="仿宋_GB2312" w:hAnsi="仿宋_GB2312" w:eastAsia="仿宋_GB2312" w:cs="仿宋_GB2312"/>
                <w:sz w:val="21"/>
                <w:szCs w:val="22"/>
                <w:lang w:val="en-US" w:eastAsia="zh-CN" w:bidi="zh-CN"/>
              </w:rPr>
            </w:pPr>
            <w:r>
              <w:rPr>
                <w:rFonts w:hint="eastAsia"/>
                <w:sz w:val="21"/>
                <w:lang w:eastAsia="zh-CN"/>
              </w:rPr>
              <w:t>万宁新</w:t>
            </w:r>
          </w:p>
        </w:tc>
        <w:tc>
          <w:tcPr>
            <w:tcW w:w="1200" w:type="dxa"/>
            <w:vAlign w:val="top"/>
          </w:tcPr>
          <w:p>
            <w:pPr>
              <w:pStyle w:val="11"/>
              <w:ind w:left="161" w:leftChars="0" w:right="157" w:rightChars="0"/>
              <w:jc w:val="center"/>
              <w:rPr>
                <w:rFonts w:hint="eastAsia"/>
                <w:sz w:val="21"/>
                <w:lang w:eastAsia="zh-CN"/>
              </w:rPr>
            </w:pPr>
          </w:p>
          <w:p>
            <w:pPr>
              <w:pStyle w:val="11"/>
              <w:ind w:left="161" w:leftChars="0" w:right="157" w:rightChars="0"/>
              <w:jc w:val="center"/>
              <w:rPr>
                <w:rFonts w:hint="eastAsia"/>
                <w:sz w:val="21"/>
                <w:lang w:eastAsia="zh-CN"/>
              </w:rPr>
            </w:pPr>
          </w:p>
          <w:p>
            <w:pPr>
              <w:pStyle w:val="11"/>
              <w:ind w:left="161" w:leftChars="0" w:right="157" w:rightChars="0"/>
              <w:jc w:val="center"/>
              <w:rPr>
                <w:rFonts w:hint="eastAsia" w:ascii="仿宋_GB2312" w:hAnsi="仿宋_GB2312" w:eastAsia="仿宋_GB2312" w:cs="仿宋_GB2312"/>
                <w:sz w:val="21"/>
                <w:szCs w:val="22"/>
                <w:lang w:val="zh-CN" w:eastAsia="zh-CN" w:bidi="zh-CN"/>
              </w:rPr>
            </w:pPr>
            <w:r>
              <w:rPr>
                <w:rFonts w:hint="eastAsia"/>
                <w:sz w:val="21"/>
                <w:lang w:eastAsia="zh-CN"/>
              </w:rPr>
              <w:t>办公室</w:t>
            </w:r>
          </w:p>
        </w:tc>
        <w:tc>
          <w:tcPr>
            <w:tcW w:w="1095" w:type="dxa"/>
          </w:tcPr>
          <w:p>
            <w:pPr>
              <w:pStyle w:val="11"/>
              <w:rPr>
                <w:rFonts w:ascii="Times New Roman"/>
                <w:sz w:val="20"/>
              </w:rPr>
            </w:pPr>
          </w:p>
          <w:p>
            <w:pPr>
              <w:pStyle w:val="11"/>
              <w:rPr>
                <w:rFonts w:ascii="Times New Roman"/>
                <w:sz w:val="20"/>
              </w:rPr>
            </w:pPr>
          </w:p>
          <w:p>
            <w:pPr>
              <w:pStyle w:val="11"/>
              <w:ind w:right="315"/>
              <w:jc w:val="right"/>
              <w:rPr>
                <w:sz w:val="21"/>
              </w:rPr>
            </w:pPr>
            <w:r>
              <w:rPr>
                <w:sz w:val="21"/>
              </w:rPr>
              <w:t>12月</w:t>
            </w:r>
          </w:p>
        </w:tc>
      </w:tr>
    </w:tbl>
    <w:p/>
    <w:sectPr>
      <w:footerReference r:id="rId6" w:type="default"/>
      <w:pgSz w:w="16838" w:h="11906" w:orient="landscape"/>
      <w:pgMar w:top="2098" w:right="1531" w:bottom="1928" w:left="1531"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- 29 -</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- 29 -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- 34 -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- 34 -</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B92744"/>
    <w:rsid w:val="62B927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仿宋_GB2312" w:hAnsi="仿宋_GB2312" w:eastAsia="仿宋_GB2312" w:cs="仿宋_GB2312"/>
      <w:sz w:val="22"/>
      <w:szCs w:val="22"/>
      <w:lang w:val="zh-CN" w:eastAsia="zh-CN" w:bidi="zh-CN"/>
    </w:rPr>
  </w:style>
  <w:style w:type="paragraph" w:styleId="4">
    <w:name w:val="heading 1"/>
    <w:basedOn w:val="1"/>
    <w:next w:val="1"/>
    <w:qFormat/>
    <w:uiPriority w:val="1"/>
    <w:pPr>
      <w:ind w:left="431"/>
      <w:outlineLvl w:val="1"/>
    </w:pPr>
    <w:rPr>
      <w:rFonts w:ascii="方正小标宋简体" w:hAnsi="方正小标宋简体" w:eastAsia="方正小标宋简体" w:cs="方正小标宋简体"/>
      <w:sz w:val="44"/>
      <w:szCs w:val="44"/>
      <w:lang w:val="zh-CN" w:eastAsia="zh-CN" w:bidi="zh-CN"/>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customStyle="1" w:styleId="2">
    <w:name w:val="Body Text First Indent 21"/>
    <w:basedOn w:val="3"/>
    <w:qFormat/>
    <w:uiPriority w:val="99"/>
    <w:pPr>
      <w:autoSpaceDE w:val="0"/>
      <w:autoSpaceDN w:val="0"/>
      <w:ind w:left="420" w:leftChars="200" w:firstLine="420" w:firstLineChars="200"/>
      <w:jc w:val="left"/>
    </w:pPr>
    <w:rPr>
      <w:rFonts w:ascii="仿宋_GB2312" w:hAnsi="仿宋_GB2312" w:eastAsia="仿宋_GB2312" w:cs="仿宋_GB2312"/>
      <w:kern w:val="0"/>
      <w:sz w:val="22"/>
      <w:szCs w:val="21"/>
      <w:lang w:val="zh-CN" w:bidi="zh-CN"/>
    </w:rPr>
  </w:style>
  <w:style w:type="paragraph" w:customStyle="1" w:styleId="3">
    <w:name w:val="Body Text Indent1"/>
    <w:basedOn w:val="1"/>
    <w:qFormat/>
    <w:uiPriority w:val="99"/>
    <w:pPr>
      <w:ind w:left="420" w:leftChars="200"/>
    </w:pPr>
    <w:rPr>
      <w:szCs w:val="22"/>
    </w:rPr>
  </w:style>
  <w:style w:type="paragraph" w:styleId="5">
    <w:name w:val="Body Text"/>
    <w:basedOn w:val="1"/>
    <w:qFormat/>
    <w:uiPriority w:val="1"/>
    <w:rPr>
      <w:rFonts w:ascii="仿宋_GB2312" w:hAnsi="仿宋_GB2312" w:eastAsia="仿宋_GB2312" w:cs="仿宋_GB2312"/>
      <w:sz w:val="32"/>
      <w:szCs w:val="32"/>
      <w:lang w:val="zh-CN" w:eastAsia="zh-CN" w:bidi="zh-CN"/>
    </w:rPr>
  </w:style>
  <w:style w:type="paragraph" w:styleId="6">
    <w:name w:val="footer"/>
    <w:basedOn w:val="1"/>
    <w:qFormat/>
    <w:uiPriority w:val="0"/>
    <w:pPr>
      <w:tabs>
        <w:tab w:val="center" w:pos="4153"/>
        <w:tab w:val="right" w:pos="8306"/>
      </w:tabs>
      <w:snapToGrid w:val="0"/>
      <w:jc w:val="left"/>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0">
    <w:name w:val="List Paragraph"/>
    <w:basedOn w:val="1"/>
    <w:qFormat/>
    <w:uiPriority w:val="1"/>
    <w:pPr>
      <w:spacing w:before="190"/>
      <w:ind w:left="100" w:right="281" w:firstLine="640"/>
      <w:jc w:val="both"/>
    </w:pPr>
    <w:rPr>
      <w:rFonts w:ascii="仿宋_GB2312" w:hAnsi="仿宋_GB2312" w:eastAsia="仿宋_GB2312" w:cs="仿宋_GB2312"/>
      <w:lang w:val="zh-CN" w:eastAsia="zh-CN" w:bidi="zh-CN"/>
    </w:rPr>
  </w:style>
  <w:style w:type="paragraph" w:customStyle="1" w:styleId="11">
    <w:name w:val="Table Paragraph"/>
    <w:basedOn w:val="1"/>
    <w:qFormat/>
    <w:uiPriority w:val="1"/>
    <w:rPr>
      <w:rFonts w:ascii="仿宋_GB2312" w:hAnsi="仿宋_GB2312" w:eastAsia="仿宋_GB2312" w:cs="仿宋_GB2312"/>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2021-09-03T03:26:00Z</dcterms:created>
  <dc:creator>阳光浅笑＆琉璃盏</dc:creator>
  <cp:lastModifiedBy>阳光浅笑＆琉璃盏</cp:lastModifiedBy>
  <dcterms:modified xsi:type="dcterms:W3CDTF">2021-09-03T03:28:16Z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F565EA2EA62A4008A00E6B3918EB7099</vt:lpwstr>
  </property>
</Properties>
</file>