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楷体_GB2312" w:eastAsia="楷体_GB2312"/>
          <w:b/>
          <w:sz w:val="28"/>
          <w:szCs w:val="28"/>
        </w:rPr>
      </w:pPr>
    </w:p>
    <w:p>
      <w:pPr>
        <w:spacing w:line="660" w:lineRule="exact"/>
        <w:rPr>
          <w:rFonts w:ascii="方正小标宋简体" w:eastAsia="方正小标宋简体"/>
          <w:b/>
          <w:sz w:val="44"/>
          <w:szCs w:val="44"/>
        </w:rPr>
      </w:pPr>
    </w:p>
    <w:p>
      <w:pPr>
        <w:spacing w:line="660" w:lineRule="exact"/>
        <w:jc w:val="center"/>
        <w:rPr>
          <w:rFonts w:ascii="方正小标宋简体" w:eastAsia="方正小标宋简体"/>
          <w:b/>
          <w:sz w:val="52"/>
          <w:szCs w:val="44"/>
        </w:rPr>
      </w:pPr>
      <w:r>
        <w:rPr>
          <w:rFonts w:hint="eastAsia" w:ascii="方正小标宋简体" w:eastAsia="方正小标宋简体"/>
          <w:b/>
          <w:sz w:val="52"/>
          <w:szCs w:val="44"/>
        </w:rPr>
        <w:t>2020</w:t>
      </w:r>
      <w:r>
        <w:rPr>
          <w:rFonts w:ascii="方正小标宋简体" w:eastAsia="方正小标宋简体"/>
          <w:b/>
          <w:sz w:val="52"/>
          <w:szCs w:val="44"/>
        </w:rPr>
        <w:t>年度</w:t>
      </w:r>
      <w:r>
        <w:rPr>
          <w:rFonts w:hint="eastAsia" w:ascii="方正小标宋简体" w:eastAsia="方正小标宋简体"/>
          <w:b/>
          <w:sz w:val="52"/>
          <w:szCs w:val="44"/>
        </w:rPr>
        <w:t xml:space="preserve">白银区住房保障事务中心    </w:t>
      </w:r>
      <w:r>
        <w:rPr>
          <w:rFonts w:hint="eastAsia" w:ascii="方正小标宋简体" w:eastAsia="方正小标宋简体"/>
          <w:b/>
          <w:sz w:val="52"/>
          <w:szCs w:val="44"/>
          <w:lang w:val="en-US" w:eastAsia="zh-CN"/>
        </w:rPr>
        <w:t xml:space="preserve"> </w:t>
      </w:r>
      <w:r>
        <w:rPr>
          <w:rFonts w:hint="eastAsia" w:ascii="方正小标宋简体" w:eastAsia="方正小标宋简体"/>
          <w:b/>
          <w:sz w:val="52"/>
          <w:szCs w:val="44"/>
        </w:rPr>
        <w:t xml:space="preserve"> 整体收支绩效自评报告</w:t>
      </w: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jc w:val="center"/>
        <w:rPr>
          <w:rFonts w:ascii="仿宋_GB2312" w:eastAsia="仿宋_GB2312"/>
          <w:sz w:val="32"/>
          <w:szCs w:val="32"/>
        </w:rPr>
      </w:pPr>
    </w:p>
    <w:p>
      <w:pPr>
        <w:spacing w:line="660" w:lineRule="exact"/>
        <w:ind w:firstLine="800" w:firstLineChars="250"/>
        <w:rPr>
          <w:rFonts w:ascii="仿宋_GB2312" w:eastAsia="仿宋_GB2312"/>
          <w:sz w:val="32"/>
          <w:szCs w:val="32"/>
          <w:u w:val="single"/>
        </w:rPr>
      </w:pPr>
      <w:r>
        <w:rPr>
          <w:rFonts w:hint="eastAsia" w:ascii="仿宋_GB2312" w:eastAsia="仿宋_GB2312"/>
          <w:sz w:val="32"/>
          <w:szCs w:val="32"/>
        </w:rPr>
        <w:t>自评</w:t>
      </w:r>
      <w:r>
        <w:rPr>
          <w:rFonts w:ascii="仿宋_GB2312" w:eastAsia="仿宋_GB2312"/>
          <w:sz w:val="32"/>
          <w:szCs w:val="32"/>
        </w:rPr>
        <w:t>单位：</w:t>
      </w:r>
      <w:r>
        <w:rPr>
          <w:rFonts w:hint="eastAsia" w:ascii="仿宋_GB2312" w:eastAsia="仿宋_GB2312"/>
          <w:sz w:val="32"/>
          <w:szCs w:val="32"/>
          <w:u w:val="single"/>
        </w:rPr>
        <w:t xml:space="preserve">  白银区住房保障事务中心     </w:t>
      </w:r>
    </w:p>
    <w:p>
      <w:pPr>
        <w:spacing w:line="660" w:lineRule="exact"/>
        <w:ind w:firstLine="800" w:firstLineChars="250"/>
        <w:rPr>
          <w:rFonts w:ascii="仿宋_GB2312" w:eastAsia="仿宋_GB2312"/>
          <w:sz w:val="32"/>
          <w:szCs w:val="32"/>
          <w:u w:val="single"/>
        </w:rPr>
      </w:pPr>
      <w:r>
        <w:rPr>
          <w:rFonts w:hint="eastAsia" w:ascii="仿宋_GB2312" w:eastAsia="仿宋_GB2312"/>
          <w:sz w:val="32"/>
          <w:szCs w:val="32"/>
        </w:rPr>
        <w:t>经 办 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王建高</w:t>
      </w:r>
      <w:r>
        <w:rPr>
          <w:rFonts w:ascii="仿宋_GB2312" w:eastAsia="仿宋_GB2312"/>
          <w:sz w:val="32"/>
          <w:szCs w:val="32"/>
          <w:u w:val="single"/>
        </w:rPr>
        <w:t xml:space="preserve">            </w:t>
      </w:r>
    </w:p>
    <w:p>
      <w:pPr>
        <w:spacing w:line="660" w:lineRule="exact"/>
        <w:ind w:firstLine="800" w:firstLineChars="250"/>
        <w:rPr>
          <w:rFonts w:ascii="仿宋_GB2312" w:eastAsia="仿宋_GB2312"/>
          <w:sz w:val="32"/>
          <w:szCs w:val="32"/>
          <w:u w:val="single"/>
        </w:rPr>
      </w:pPr>
      <w:r>
        <w:rPr>
          <w:rFonts w:hint="eastAsia" w:ascii="仿宋_GB2312" w:eastAsia="仿宋_GB2312"/>
          <w:sz w:val="32"/>
          <w:szCs w:val="32"/>
        </w:rPr>
        <w:t>联系</w:t>
      </w:r>
      <w:r>
        <w:rPr>
          <w:rFonts w:ascii="仿宋_GB2312" w:eastAsia="仿宋_GB2312"/>
          <w:sz w:val="32"/>
          <w:szCs w:val="32"/>
        </w:rPr>
        <w:t>方式</w:t>
      </w:r>
      <w:r>
        <w:rPr>
          <w:rFonts w:hint="eastAsia" w:ascii="仿宋_GB2312" w:eastAsia="仿宋_GB2312"/>
          <w:sz w:val="32"/>
          <w:szCs w:val="32"/>
        </w:rPr>
        <w:t>：</w:t>
      </w:r>
      <w:r>
        <w:rPr>
          <w:rFonts w:hint="eastAsia" w:ascii="仿宋_GB2312" w:eastAsia="仿宋_GB2312"/>
          <w:sz w:val="32"/>
          <w:szCs w:val="32"/>
          <w:u w:val="single"/>
        </w:rPr>
        <w:t xml:space="preserve">       0943-8663231</w:t>
      </w:r>
      <w:r>
        <w:rPr>
          <w:rFonts w:ascii="仿宋_GB2312" w:eastAsia="仿宋_GB2312"/>
          <w:sz w:val="32"/>
          <w:szCs w:val="32"/>
          <w:u w:val="single"/>
        </w:rPr>
        <w:t xml:space="preserve">        </w:t>
      </w:r>
    </w:p>
    <w:p>
      <w:pPr>
        <w:spacing w:line="660" w:lineRule="exact"/>
        <w:ind w:firstLine="800" w:firstLineChars="250"/>
        <w:sectPr>
          <w:footerReference r:id="rId3" w:type="default"/>
          <w:pgSz w:w="11906" w:h="16838"/>
          <w:pgMar w:top="1440" w:right="1080" w:bottom="1440" w:left="1080" w:header="851" w:footer="992" w:gutter="0"/>
          <w:pgNumType w:fmt="upperRoman" w:start="1"/>
          <w:cols w:space="720" w:num="1"/>
          <w:docGrid w:type="lines" w:linePitch="312" w:charSpace="0"/>
        </w:sectPr>
      </w:pPr>
      <w:r>
        <w:rPr>
          <w:rFonts w:hint="eastAsia" w:ascii="仿宋_GB2312" w:eastAsia="仿宋_GB2312"/>
          <w:sz w:val="32"/>
          <w:szCs w:val="32"/>
        </w:rPr>
        <w:t>自评</w:t>
      </w:r>
      <w:r>
        <w:rPr>
          <w:rFonts w:ascii="仿宋_GB2312" w:eastAsia="仿宋_GB2312"/>
          <w:sz w:val="32"/>
          <w:szCs w:val="32"/>
        </w:rPr>
        <w:t>时间：</w:t>
      </w:r>
      <w:r>
        <w:rPr>
          <w:rFonts w:hint="eastAsia" w:ascii="仿宋_GB2312" w:eastAsia="仿宋_GB2312"/>
          <w:sz w:val="32"/>
          <w:szCs w:val="32"/>
          <w:u w:val="single"/>
        </w:rPr>
        <w:t xml:space="preserve">     2021年07</w:t>
      </w:r>
      <w:r>
        <w:rPr>
          <w:rFonts w:ascii="仿宋_GB2312" w:eastAsia="仿宋_GB2312"/>
          <w:sz w:val="32"/>
          <w:szCs w:val="32"/>
          <w:u w:val="single"/>
        </w:rPr>
        <w:t>月</w:t>
      </w:r>
      <w:r>
        <w:rPr>
          <w:rFonts w:hint="eastAsia" w:ascii="仿宋_GB2312" w:eastAsia="仿宋_GB2312"/>
          <w:sz w:val="32"/>
          <w:szCs w:val="32"/>
          <w:u w:val="single"/>
        </w:rPr>
        <w:t xml:space="preserve"> 23</w:t>
      </w:r>
      <w:r>
        <w:rPr>
          <w:rFonts w:ascii="仿宋_GB2312" w:eastAsia="仿宋_GB2312"/>
          <w:sz w:val="32"/>
          <w:szCs w:val="32"/>
          <w:u w:val="single"/>
        </w:rPr>
        <w:t>日</w:t>
      </w:r>
      <w:r>
        <w:rPr>
          <w:rFonts w:hint="eastAsia" w:ascii="仿宋_GB2312" w:eastAsia="仿宋_GB2312"/>
          <w:sz w:val="32"/>
          <w:szCs w:val="32"/>
          <w:u w:val="single"/>
        </w:rPr>
        <w:t xml:space="preserve">       </w:t>
      </w:r>
    </w:p>
    <w:p>
      <w:pPr>
        <w:spacing w:line="660" w:lineRule="exact"/>
        <w:jc w:val="center"/>
        <w:rPr>
          <w:rFonts w:ascii="方正小标宋简体" w:eastAsia="方正小标宋简体"/>
          <w:b/>
          <w:sz w:val="44"/>
          <w:szCs w:val="44"/>
        </w:rPr>
      </w:pPr>
      <w:bookmarkStart w:id="0" w:name="_Toc22529_WPSOffice_Level1"/>
      <w:bookmarkStart w:id="1" w:name="_Toc12444_WPSOffice_Level1"/>
    </w:p>
    <w:p>
      <w:pPr>
        <w:spacing w:line="660" w:lineRule="exact"/>
        <w:jc w:val="center"/>
        <w:rPr>
          <w:rFonts w:ascii="方正小标宋简体" w:eastAsia="方正小标宋简体"/>
          <w:b/>
          <w:sz w:val="44"/>
          <w:szCs w:val="44"/>
        </w:rPr>
      </w:pPr>
      <w:r>
        <w:rPr>
          <w:rFonts w:hint="eastAsia" w:ascii="方正小标宋简体" w:eastAsia="方正小标宋简体"/>
          <w:b/>
          <w:sz w:val="44"/>
          <w:szCs w:val="44"/>
        </w:rPr>
        <w:t>摘  要</w:t>
      </w:r>
      <w:bookmarkEnd w:id="0"/>
      <w:bookmarkEnd w:id="1"/>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24" w:firstLineChars="200"/>
        <w:textAlignment w:val="auto"/>
        <w:rPr>
          <w:rFonts w:hint="eastAsia" w:ascii="仿宋_GB2312" w:hAnsi="仿宋_GB2312" w:eastAsia="仿宋_GB2312" w:cs="仿宋_GB2312"/>
          <w:spacing w:val="-4"/>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为贯彻落实党的十九大关于“全面实施绩效管理”的战略部署，提高财政资源配置效率和使用效益，根据《中华人民共和国</w:t>
      </w:r>
      <w:r>
        <w:rPr>
          <w:rFonts w:hint="eastAsia" w:ascii="仿宋_GB2312" w:hAnsi="仿宋_GB2312" w:eastAsia="仿宋_GB2312" w:cs="仿宋_GB2312"/>
          <w:spacing w:val="-134"/>
          <w:sz w:val="32"/>
          <w:szCs w:val="32"/>
          <w:lang w:eastAsia="zh-CN"/>
        </w:rPr>
        <w:t xml:space="preserve"> </w:t>
      </w:r>
      <w:r>
        <w:rPr>
          <w:rFonts w:hint="eastAsia" w:ascii="仿宋_GB2312" w:hAnsi="仿宋_GB2312" w:eastAsia="仿宋_GB2312" w:cs="仿宋_GB2312"/>
          <w:spacing w:val="-4"/>
          <w:sz w:val="32"/>
          <w:szCs w:val="32"/>
          <w:lang w:eastAsia="zh-CN"/>
        </w:rPr>
        <w:t>预算法》和中共中央办公厅《关于人大预算审查监督重点向支出</w:t>
      </w:r>
      <w:r>
        <w:rPr>
          <w:rFonts w:hint="eastAsia" w:ascii="仿宋_GB2312" w:hAnsi="仿宋_GB2312" w:eastAsia="仿宋_GB2312" w:cs="仿宋_GB2312"/>
          <w:spacing w:val="-134"/>
          <w:sz w:val="32"/>
          <w:szCs w:val="32"/>
          <w:lang w:eastAsia="zh-CN"/>
        </w:rPr>
        <w:t xml:space="preserve"> </w:t>
      </w:r>
      <w:r>
        <w:rPr>
          <w:rFonts w:hint="eastAsia" w:ascii="仿宋_GB2312" w:hAnsi="仿宋_GB2312" w:eastAsia="仿宋_GB2312" w:cs="仿宋_GB2312"/>
          <w:sz w:val="32"/>
          <w:szCs w:val="32"/>
          <w:lang w:eastAsia="zh-CN"/>
        </w:rPr>
        <w:t>预算和政策拓展的指导意见》的要求及《甘肃省财政厅关于做好2020年度决算信息公开工作的通知》和《白银市白银区财政局关于做好2020年度预算绩效自评工作的紧急通知》等文件要求</w:t>
      </w:r>
      <w:bookmarkStart w:id="52" w:name="_GoBack"/>
      <w:bookmarkEnd w:id="52"/>
      <w:r>
        <w:rPr>
          <w:rFonts w:hint="eastAsia" w:ascii="仿宋_GB2312" w:hAnsi="仿宋_GB2312" w:eastAsia="仿宋_GB2312" w:cs="仿宋_GB2312"/>
          <w:sz w:val="32"/>
          <w:szCs w:val="32"/>
          <w:lang w:eastAsia="zh-CN"/>
        </w:rPr>
        <w:t>，为了加强白银区住房保障事务中心2020年度部门整体支出的使用效率，提升资金管理水平和实施成效，最大限度发挥财政资金综合效益，白银区住房保障事务中心就2020年度部门整体收支情况进行了绩效自评。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部门整体评价结果表明：白银区住房保障事务中心部门整体支出绩效评价总体实施效果显著，资金监管到位，项目的社会效益突出，环境效益持久，可持续影响较好，但在项目绩效评价过程中发现，项目绩效目标完成效率还有待进一步提高。2020年度部门整体支出绩效自评得分为92分，根据《关于规范绩效评价结果等级划分的通知》（财预便〔2017〕44号）中绩效评价结果划分等级标准，此次绩效评价等级为：优。</w:t>
      </w:r>
    </w:p>
    <w:p>
      <w:pPr>
        <w:spacing w:line="660" w:lineRule="exac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pStyle w:val="18"/>
        <w:jc w:val="center"/>
      </w:pPr>
      <w:r>
        <w:rPr>
          <w:lang w:val="zh-CN"/>
        </w:rPr>
        <w:t>目</w:t>
      </w:r>
      <w:r>
        <w:rPr>
          <w:rFonts w:hint="eastAsia"/>
          <w:lang w:val="zh-CN"/>
        </w:rPr>
        <w:t xml:space="preserve">  </w:t>
      </w:r>
      <w:r>
        <w:rPr>
          <w:lang w:val="zh-CN"/>
        </w:rPr>
        <w:t>录</w:t>
      </w:r>
    </w:p>
    <w:p>
      <w:pPr>
        <w:pStyle w:val="9"/>
      </w:pPr>
      <w:r>
        <w:fldChar w:fldCharType="begin"/>
      </w:r>
      <w:r>
        <w:instrText xml:space="preserve"> TOC \o "1-3" \h \z \u </w:instrText>
      </w:r>
      <w:r>
        <w:fldChar w:fldCharType="separate"/>
      </w:r>
      <w:r>
        <w:fldChar w:fldCharType="begin"/>
      </w:r>
      <w:r>
        <w:instrText xml:space="preserve"> HYPERLINK \l "_Toc20726746" </w:instrText>
      </w:r>
      <w:r>
        <w:fldChar w:fldCharType="separate"/>
      </w:r>
      <w:r>
        <w:rPr>
          <w:rStyle w:val="14"/>
          <w:rFonts w:hint="eastAsia"/>
        </w:rPr>
        <w:t>一、基本情况</w:t>
      </w:r>
      <w:r>
        <w:tab/>
      </w:r>
      <w:r>
        <w:fldChar w:fldCharType="begin"/>
      </w:r>
      <w:r>
        <w:instrText xml:space="preserve"> PAGEREF _Toc20726746 \h </w:instrText>
      </w:r>
      <w:r>
        <w:fldChar w:fldCharType="separate"/>
      </w:r>
      <w:r>
        <w:t>1</w:t>
      </w:r>
      <w:r>
        <w:fldChar w:fldCharType="end"/>
      </w:r>
      <w:r>
        <w:fldChar w:fldCharType="end"/>
      </w:r>
    </w:p>
    <w:p>
      <w:pPr>
        <w:pStyle w:val="10"/>
        <w:tabs>
          <w:tab w:val="right" w:leader="dot" w:pos="9736"/>
        </w:tabs>
        <w:spacing w:line="360" w:lineRule="auto"/>
        <w:rPr>
          <w:sz w:val="24"/>
        </w:rPr>
      </w:pPr>
      <w:r>
        <w:fldChar w:fldCharType="begin"/>
      </w:r>
      <w:r>
        <w:instrText xml:space="preserve"> HYPERLINK \l "_Toc20726747" </w:instrText>
      </w:r>
      <w:r>
        <w:fldChar w:fldCharType="separate"/>
      </w:r>
      <w:r>
        <w:rPr>
          <w:rStyle w:val="14"/>
          <w:rFonts w:hint="eastAsia"/>
          <w:sz w:val="24"/>
        </w:rPr>
        <w:t>（一）部门概况.</w:t>
      </w:r>
      <w:r>
        <w:rPr>
          <w:sz w:val="24"/>
        </w:rPr>
        <w:tab/>
      </w:r>
      <w:r>
        <w:rPr>
          <w:rFonts w:hint="eastAsia"/>
          <w:sz w:val="24"/>
        </w:rPr>
        <w:t>.</w:t>
      </w:r>
      <w:r>
        <w:rPr>
          <w:rFonts w:hint="eastAsia"/>
          <w:sz w:val="24"/>
        </w:rPr>
        <w:fldChar w:fldCharType="end"/>
      </w:r>
      <w:r>
        <w:rPr>
          <w:rFonts w:hint="eastAsia"/>
          <w:sz w:val="24"/>
        </w:rPr>
        <w:t>1</w:t>
      </w:r>
    </w:p>
    <w:p>
      <w:pPr>
        <w:spacing w:line="360" w:lineRule="auto"/>
        <w:ind w:firstLine="480" w:firstLineChars="200"/>
        <w:rPr>
          <w:rFonts w:ascii="宋体" w:hAnsi="宋体"/>
          <w:sz w:val="24"/>
          <w:szCs w:val="24"/>
        </w:rPr>
      </w:pPr>
      <w:r>
        <w:rPr>
          <w:rFonts w:hint="eastAsia" w:ascii="宋体" w:hAnsi="宋体"/>
          <w:sz w:val="24"/>
          <w:szCs w:val="24"/>
        </w:rPr>
        <w:t>1、部门职责</w:t>
      </w:r>
      <w:r>
        <w:rPr>
          <w:rFonts w:ascii="宋体" w:hAnsi="宋体"/>
          <w:sz w:val="24"/>
          <w:szCs w:val="24"/>
        </w:rPr>
        <w:t>………………………………………………………………………………………</w:t>
      </w:r>
      <w:r>
        <w:rPr>
          <w:rFonts w:hint="eastAsia" w:ascii="宋体" w:hAnsi="宋体"/>
          <w:sz w:val="24"/>
          <w:szCs w:val="24"/>
        </w:rPr>
        <w:t>1</w:t>
      </w:r>
    </w:p>
    <w:p>
      <w:pPr>
        <w:spacing w:line="360" w:lineRule="auto"/>
        <w:ind w:firstLine="480" w:firstLineChars="200"/>
        <w:rPr>
          <w:rFonts w:ascii="宋体" w:hAnsi="宋体"/>
          <w:sz w:val="24"/>
          <w:szCs w:val="24"/>
        </w:rPr>
      </w:pPr>
      <w:r>
        <w:rPr>
          <w:rFonts w:hint="eastAsia" w:ascii="宋体" w:hAnsi="宋体"/>
          <w:sz w:val="24"/>
          <w:szCs w:val="24"/>
        </w:rPr>
        <w:t>2、机构设置及人员情况</w:t>
      </w:r>
      <w:r>
        <w:rPr>
          <w:rFonts w:ascii="宋体" w:hAnsi="宋体"/>
          <w:sz w:val="24"/>
          <w:szCs w:val="24"/>
        </w:rPr>
        <w:t>…………………………………………………………………………</w:t>
      </w:r>
      <w:r>
        <w:rPr>
          <w:rFonts w:hint="eastAsia" w:ascii="宋体" w:hAnsi="宋体"/>
          <w:sz w:val="24"/>
          <w:szCs w:val="24"/>
        </w:rPr>
        <w:t>1</w:t>
      </w:r>
    </w:p>
    <w:p>
      <w:pPr>
        <w:spacing w:line="360" w:lineRule="auto"/>
        <w:ind w:firstLine="480" w:firstLineChars="200"/>
        <w:rPr>
          <w:rFonts w:ascii="宋体" w:hAnsi="宋体"/>
          <w:sz w:val="24"/>
          <w:szCs w:val="24"/>
        </w:rPr>
      </w:pPr>
      <w:r>
        <w:rPr>
          <w:rFonts w:hint="eastAsia" w:ascii="宋体" w:hAnsi="宋体"/>
          <w:sz w:val="24"/>
          <w:szCs w:val="24"/>
        </w:rPr>
        <w:t>3、部门收入预决算情况</w:t>
      </w:r>
      <w:r>
        <w:rPr>
          <w:rFonts w:ascii="宋体" w:hAnsi="宋体"/>
          <w:sz w:val="24"/>
          <w:szCs w:val="24"/>
        </w:rPr>
        <w:t>…………………………………………………………………………</w:t>
      </w:r>
      <w:r>
        <w:rPr>
          <w:rFonts w:hint="eastAsia" w:ascii="宋体" w:hAnsi="宋体"/>
          <w:sz w:val="24"/>
          <w:szCs w:val="24"/>
        </w:rPr>
        <w:t>1</w:t>
      </w:r>
    </w:p>
    <w:p>
      <w:pPr>
        <w:spacing w:line="360" w:lineRule="auto"/>
        <w:ind w:firstLine="480" w:firstLineChars="200"/>
        <w:rPr>
          <w:rFonts w:ascii="宋体" w:hAnsi="宋体"/>
          <w:sz w:val="24"/>
          <w:szCs w:val="24"/>
        </w:rPr>
      </w:pPr>
      <w:r>
        <w:rPr>
          <w:rFonts w:hint="eastAsia" w:ascii="宋体" w:hAnsi="宋体"/>
          <w:sz w:val="24"/>
          <w:szCs w:val="24"/>
        </w:rPr>
        <w:t>4、部门支出预决算情况</w:t>
      </w:r>
      <w:r>
        <w:rPr>
          <w:rFonts w:ascii="宋体" w:hAnsi="宋体"/>
          <w:sz w:val="24"/>
          <w:szCs w:val="24"/>
        </w:rPr>
        <w:t>…………………………………………………………………………</w:t>
      </w:r>
      <w:r>
        <w:rPr>
          <w:rFonts w:hint="eastAsia" w:ascii="宋体" w:hAnsi="宋体"/>
          <w:sz w:val="24"/>
          <w:szCs w:val="24"/>
        </w:rPr>
        <w:t>2</w:t>
      </w:r>
    </w:p>
    <w:p>
      <w:pPr>
        <w:spacing w:line="360" w:lineRule="auto"/>
        <w:ind w:firstLine="480" w:firstLineChars="200"/>
        <w:rPr>
          <w:rFonts w:ascii="宋体" w:hAnsi="宋体"/>
          <w:sz w:val="24"/>
          <w:szCs w:val="24"/>
        </w:rPr>
      </w:pPr>
      <w:r>
        <w:rPr>
          <w:rFonts w:hint="eastAsia" w:ascii="宋体" w:hAnsi="宋体"/>
          <w:sz w:val="24"/>
          <w:szCs w:val="24"/>
        </w:rPr>
        <w:t>5、年末结转和结余情况</w:t>
      </w:r>
      <w:r>
        <w:rPr>
          <w:rFonts w:ascii="宋体" w:hAnsi="宋体"/>
          <w:sz w:val="24"/>
          <w:szCs w:val="24"/>
        </w:rPr>
        <w:t>…………………………………………………………………………</w:t>
      </w:r>
      <w:r>
        <w:rPr>
          <w:rFonts w:hint="eastAsia" w:ascii="宋体" w:hAnsi="宋体"/>
          <w:sz w:val="24"/>
          <w:szCs w:val="24"/>
        </w:rPr>
        <w:t>2</w:t>
      </w:r>
    </w:p>
    <w:p>
      <w:pPr>
        <w:pStyle w:val="10"/>
        <w:tabs>
          <w:tab w:val="right" w:leader="dot" w:pos="9736"/>
        </w:tabs>
        <w:spacing w:line="360" w:lineRule="auto"/>
        <w:rPr>
          <w:sz w:val="24"/>
        </w:rPr>
      </w:pPr>
      <w:r>
        <w:fldChar w:fldCharType="begin"/>
      </w:r>
      <w:r>
        <w:instrText xml:space="preserve"> HYPERLINK \l "_Toc20726748" </w:instrText>
      </w:r>
      <w:r>
        <w:fldChar w:fldCharType="separate"/>
      </w:r>
      <w:r>
        <w:rPr>
          <w:rStyle w:val="14"/>
          <w:rFonts w:hint="eastAsia"/>
          <w:sz w:val="24"/>
        </w:rPr>
        <w:t>（二）自评范围</w:t>
      </w:r>
      <w:r>
        <w:rPr>
          <w:sz w:val="24"/>
        </w:rPr>
        <w:tab/>
      </w:r>
      <w:r>
        <w:rPr>
          <w:rFonts w:hint="eastAsia"/>
          <w:sz w:val="24"/>
        </w:rPr>
        <w:t>2</w:t>
      </w:r>
      <w:r>
        <w:rPr>
          <w:rFonts w:hint="eastAsia"/>
          <w:sz w:val="24"/>
        </w:rPr>
        <w:fldChar w:fldCharType="end"/>
      </w:r>
    </w:p>
    <w:p>
      <w:pPr>
        <w:pStyle w:val="10"/>
        <w:tabs>
          <w:tab w:val="right" w:leader="dot" w:pos="9736"/>
        </w:tabs>
        <w:spacing w:line="360" w:lineRule="auto"/>
        <w:rPr>
          <w:sz w:val="24"/>
        </w:rPr>
      </w:pPr>
      <w:r>
        <w:fldChar w:fldCharType="begin"/>
      </w:r>
      <w:r>
        <w:instrText xml:space="preserve"> HYPERLINK \l "_Toc20726749" </w:instrText>
      </w:r>
      <w:r>
        <w:fldChar w:fldCharType="separate"/>
      </w:r>
      <w:r>
        <w:rPr>
          <w:rStyle w:val="14"/>
          <w:rFonts w:hint="eastAsia"/>
          <w:sz w:val="24"/>
        </w:rPr>
        <w:t>（三）自评目的</w:t>
      </w:r>
      <w:r>
        <w:rPr>
          <w:sz w:val="24"/>
        </w:rPr>
        <w:tab/>
      </w:r>
      <w:r>
        <w:rPr>
          <w:rFonts w:hint="eastAsia"/>
          <w:sz w:val="24"/>
        </w:rPr>
        <w:t>2</w:t>
      </w:r>
      <w:r>
        <w:rPr>
          <w:rFonts w:hint="eastAsia"/>
          <w:sz w:val="24"/>
        </w:rPr>
        <w:fldChar w:fldCharType="end"/>
      </w:r>
    </w:p>
    <w:p>
      <w:pPr>
        <w:pStyle w:val="10"/>
        <w:tabs>
          <w:tab w:val="right" w:leader="dot" w:pos="9736"/>
        </w:tabs>
        <w:spacing w:line="360" w:lineRule="auto"/>
        <w:rPr>
          <w:sz w:val="24"/>
        </w:rPr>
      </w:pPr>
      <w:r>
        <w:fldChar w:fldCharType="begin"/>
      </w:r>
      <w:r>
        <w:instrText xml:space="preserve"> HYPERLINK \l "_Toc20726755" </w:instrText>
      </w:r>
      <w:r>
        <w:fldChar w:fldCharType="separate"/>
      </w:r>
      <w:r>
        <w:rPr>
          <w:rStyle w:val="14"/>
          <w:rFonts w:hint="eastAsia"/>
          <w:sz w:val="24"/>
        </w:rPr>
        <w:t>（四）自评依据</w:t>
      </w:r>
      <w:r>
        <w:rPr>
          <w:sz w:val="24"/>
        </w:rPr>
        <w:tab/>
      </w:r>
      <w:r>
        <w:rPr>
          <w:sz w:val="24"/>
        </w:rPr>
        <w:fldChar w:fldCharType="begin"/>
      </w:r>
      <w:r>
        <w:rPr>
          <w:sz w:val="24"/>
        </w:rPr>
        <w:instrText xml:space="preserve"> PAGEREF _Toc20726755 \h </w:instrText>
      </w:r>
      <w:r>
        <w:rPr>
          <w:sz w:val="24"/>
        </w:rPr>
        <w:fldChar w:fldCharType="separate"/>
      </w:r>
      <w:r>
        <w:rPr>
          <w:sz w:val="24"/>
        </w:rPr>
        <w:t>2</w:t>
      </w:r>
      <w:r>
        <w:rPr>
          <w:sz w:val="24"/>
        </w:rPr>
        <w:fldChar w:fldCharType="end"/>
      </w:r>
      <w:r>
        <w:rPr>
          <w:sz w:val="24"/>
        </w:rPr>
        <w:fldChar w:fldCharType="end"/>
      </w:r>
    </w:p>
    <w:p>
      <w:pPr>
        <w:pStyle w:val="10"/>
        <w:tabs>
          <w:tab w:val="right" w:leader="dot" w:pos="9736"/>
        </w:tabs>
        <w:spacing w:line="360" w:lineRule="auto"/>
        <w:rPr>
          <w:sz w:val="24"/>
        </w:rPr>
      </w:pPr>
      <w:r>
        <w:fldChar w:fldCharType="begin"/>
      </w:r>
      <w:r>
        <w:instrText xml:space="preserve"> HYPERLINK \l "_Toc20726756" </w:instrText>
      </w:r>
      <w:r>
        <w:fldChar w:fldCharType="separate"/>
      </w:r>
      <w:r>
        <w:rPr>
          <w:rStyle w:val="14"/>
          <w:rFonts w:hint="eastAsia"/>
          <w:sz w:val="24"/>
        </w:rPr>
        <w:t>（五）自评小组</w:t>
      </w:r>
      <w:r>
        <w:rPr>
          <w:sz w:val="24"/>
        </w:rPr>
        <w:tab/>
      </w:r>
      <w:r>
        <w:rPr>
          <w:sz w:val="24"/>
        </w:rPr>
        <w:fldChar w:fldCharType="begin"/>
      </w:r>
      <w:r>
        <w:rPr>
          <w:sz w:val="24"/>
        </w:rPr>
        <w:instrText xml:space="preserve"> PAGEREF _Toc20726756 \h </w:instrText>
      </w:r>
      <w:r>
        <w:rPr>
          <w:sz w:val="24"/>
        </w:rPr>
        <w:fldChar w:fldCharType="separate"/>
      </w:r>
      <w:r>
        <w:rPr>
          <w:sz w:val="24"/>
        </w:rPr>
        <w:t>3</w:t>
      </w:r>
      <w:r>
        <w:rPr>
          <w:sz w:val="24"/>
        </w:rPr>
        <w:fldChar w:fldCharType="end"/>
      </w:r>
      <w:r>
        <w:rPr>
          <w:sz w:val="24"/>
        </w:rPr>
        <w:fldChar w:fldCharType="end"/>
      </w:r>
    </w:p>
    <w:p>
      <w:pPr>
        <w:pStyle w:val="10"/>
        <w:tabs>
          <w:tab w:val="right" w:leader="dot" w:pos="9736"/>
        </w:tabs>
        <w:spacing w:line="360" w:lineRule="auto"/>
        <w:rPr>
          <w:sz w:val="24"/>
        </w:rPr>
      </w:pPr>
      <w:r>
        <w:fldChar w:fldCharType="begin"/>
      </w:r>
      <w:r>
        <w:instrText xml:space="preserve"> HYPERLINK \l "_Toc20726750" </w:instrText>
      </w:r>
      <w:r>
        <w:fldChar w:fldCharType="separate"/>
      </w:r>
      <w:r>
        <w:rPr>
          <w:rStyle w:val="14"/>
          <w:rFonts w:hint="eastAsia"/>
          <w:sz w:val="24"/>
        </w:rPr>
        <w:t>（六）自评思路</w:t>
      </w:r>
      <w:r>
        <w:rPr>
          <w:sz w:val="24"/>
        </w:rPr>
        <w:t>………………………………………………………………………………………………………………………</w:t>
      </w:r>
      <w:r>
        <w:rPr>
          <w:rFonts w:hint="eastAsia"/>
          <w:sz w:val="24"/>
        </w:rPr>
        <w:t>.3</w:t>
      </w:r>
      <w:r>
        <w:rPr>
          <w:rFonts w:hint="eastAsia"/>
          <w:sz w:val="24"/>
        </w:rPr>
        <w:fldChar w:fldCharType="end"/>
      </w:r>
    </w:p>
    <w:p>
      <w:pPr>
        <w:pStyle w:val="9"/>
      </w:pPr>
      <w:r>
        <w:fldChar w:fldCharType="begin"/>
      </w:r>
      <w:r>
        <w:instrText xml:space="preserve"> HYPERLINK \l "_Toc20726752" </w:instrText>
      </w:r>
      <w:r>
        <w:fldChar w:fldCharType="separate"/>
      </w:r>
      <w:r>
        <w:rPr>
          <w:rStyle w:val="14"/>
          <w:rFonts w:hint="eastAsia"/>
        </w:rPr>
        <w:t>二、组织实施情况</w:t>
      </w:r>
      <w:r>
        <w:tab/>
      </w:r>
      <w:r>
        <w:rPr>
          <w:rFonts w:hint="eastAsia"/>
        </w:rPr>
        <w:t>....</w:t>
      </w:r>
      <w:r>
        <w:rPr>
          <w:rFonts w:hint="eastAsia"/>
        </w:rPr>
        <w:fldChar w:fldCharType="end"/>
      </w:r>
      <w:r>
        <w:rPr>
          <w:rFonts w:hint="eastAsia"/>
        </w:rPr>
        <w:t>4</w:t>
      </w:r>
    </w:p>
    <w:p>
      <w:pPr>
        <w:pStyle w:val="9"/>
      </w:pPr>
      <w:r>
        <w:fldChar w:fldCharType="begin"/>
      </w:r>
      <w:r>
        <w:instrText xml:space="preserve"> HYPERLINK \l "_Toc20726757" </w:instrText>
      </w:r>
      <w:r>
        <w:fldChar w:fldCharType="separate"/>
      </w:r>
      <w:r>
        <w:rPr>
          <w:rStyle w:val="14"/>
          <w:rFonts w:hint="eastAsia"/>
        </w:rPr>
        <w:t>三、绩效目标实现程度</w:t>
      </w:r>
      <w:r>
        <w:tab/>
      </w:r>
      <w:r>
        <w:rPr>
          <w:rFonts w:hint="eastAsia"/>
        </w:rPr>
        <w:t>4</w:t>
      </w:r>
      <w:r>
        <w:rPr>
          <w:rFonts w:hint="eastAsia"/>
        </w:rPr>
        <w:fldChar w:fldCharType="end"/>
      </w:r>
    </w:p>
    <w:p>
      <w:pPr>
        <w:pStyle w:val="10"/>
        <w:tabs>
          <w:tab w:val="right" w:leader="dot" w:pos="9736"/>
        </w:tabs>
        <w:spacing w:line="360" w:lineRule="auto"/>
        <w:rPr>
          <w:sz w:val="24"/>
        </w:rPr>
      </w:pPr>
      <w:r>
        <w:fldChar w:fldCharType="begin"/>
      </w:r>
      <w:r>
        <w:instrText xml:space="preserve"> HYPERLINK \l "_Toc20726760" </w:instrText>
      </w:r>
      <w:r>
        <w:fldChar w:fldCharType="separate"/>
      </w:r>
      <w:r>
        <w:rPr>
          <w:rStyle w:val="14"/>
          <w:rFonts w:hint="eastAsia"/>
          <w:sz w:val="24"/>
        </w:rPr>
        <w:t>（一）资金到位情况</w:t>
      </w:r>
      <w:r>
        <w:rPr>
          <w:sz w:val="24"/>
        </w:rPr>
        <w:tab/>
      </w:r>
      <w:r>
        <w:rPr>
          <w:sz w:val="24"/>
        </w:rPr>
        <w:fldChar w:fldCharType="begin"/>
      </w:r>
      <w:r>
        <w:rPr>
          <w:sz w:val="24"/>
        </w:rPr>
        <w:instrText xml:space="preserve"> PAGEREF _Toc20726760 \h </w:instrText>
      </w:r>
      <w:r>
        <w:rPr>
          <w:sz w:val="24"/>
        </w:rPr>
        <w:fldChar w:fldCharType="separate"/>
      </w:r>
      <w:r>
        <w:rPr>
          <w:sz w:val="24"/>
        </w:rPr>
        <w:t>6</w:t>
      </w:r>
      <w:r>
        <w:rPr>
          <w:sz w:val="24"/>
        </w:rPr>
        <w:fldChar w:fldCharType="end"/>
      </w:r>
      <w:r>
        <w:rPr>
          <w:sz w:val="24"/>
        </w:rPr>
        <w:fldChar w:fldCharType="end"/>
      </w:r>
    </w:p>
    <w:p>
      <w:pPr>
        <w:pStyle w:val="10"/>
        <w:tabs>
          <w:tab w:val="right" w:leader="dot" w:pos="9736"/>
        </w:tabs>
        <w:spacing w:line="360" w:lineRule="auto"/>
        <w:rPr>
          <w:sz w:val="24"/>
        </w:rPr>
      </w:pPr>
      <w:r>
        <w:fldChar w:fldCharType="begin"/>
      </w:r>
      <w:r>
        <w:instrText xml:space="preserve"> HYPERLINK \l "_Toc20726761" </w:instrText>
      </w:r>
      <w:r>
        <w:fldChar w:fldCharType="separate"/>
      </w:r>
      <w:r>
        <w:rPr>
          <w:rStyle w:val="14"/>
          <w:rFonts w:hint="eastAsia"/>
          <w:sz w:val="24"/>
        </w:rPr>
        <w:t>（二）资金执行情况</w:t>
      </w:r>
      <w:r>
        <w:rPr>
          <w:sz w:val="24"/>
        </w:rPr>
        <w:tab/>
      </w:r>
      <w:r>
        <w:rPr>
          <w:rFonts w:hint="eastAsia"/>
          <w:sz w:val="24"/>
        </w:rPr>
        <w:t>5</w:t>
      </w:r>
      <w:r>
        <w:rPr>
          <w:rFonts w:hint="eastAsia"/>
          <w:sz w:val="24"/>
        </w:rPr>
        <w:fldChar w:fldCharType="end"/>
      </w:r>
    </w:p>
    <w:p>
      <w:pPr>
        <w:pStyle w:val="9"/>
        <w:ind w:firstLine="360" w:firstLineChars="150"/>
      </w:pPr>
      <w:r>
        <w:rPr>
          <w:rFonts w:hint="eastAsia"/>
        </w:rPr>
        <w:t>（三）资金指标完成情况…………………………………………………………………………5</w:t>
      </w:r>
    </w:p>
    <w:p>
      <w:pPr>
        <w:spacing w:line="360" w:lineRule="auto"/>
        <w:ind w:firstLine="480" w:firstLineChars="200"/>
        <w:rPr>
          <w:rFonts w:ascii="宋体" w:hAnsi="宋体"/>
          <w:sz w:val="24"/>
          <w:szCs w:val="24"/>
        </w:rPr>
      </w:pPr>
      <w:r>
        <w:rPr>
          <w:rFonts w:hint="eastAsia" w:ascii="宋体" w:hAnsi="宋体"/>
          <w:sz w:val="24"/>
          <w:szCs w:val="24"/>
        </w:rPr>
        <w:t>1、产出指标完成情况</w:t>
      </w:r>
      <w:r>
        <w:rPr>
          <w:rFonts w:ascii="宋体" w:hAnsi="宋体"/>
          <w:sz w:val="24"/>
          <w:szCs w:val="24"/>
        </w:rPr>
        <w:t>……………………………………………………………………………</w:t>
      </w:r>
      <w:r>
        <w:rPr>
          <w:rFonts w:hint="eastAsia" w:ascii="宋体" w:hAnsi="宋体"/>
          <w:sz w:val="24"/>
          <w:szCs w:val="24"/>
        </w:rPr>
        <w:t>5</w:t>
      </w:r>
    </w:p>
    <w:p>
      <w:pPr>
        <w:spacing w:line="360" w:lineRule="auto"/>
        <w:ind w:firstLine="480" w:firstLineChars="200"/>
        <w:rPr>
          <w:rFonts w:ascii="宋体" w:hAnsi="宋体"/>
          <w:sz w:val="24"/>
          <w:szCs w:val="24"/>
        </w:rPr>
      </w:pPr>
      <w:r>
        <w:rPr>
          <w:rFonts w:hint="eastAsia" w:ascii="宋体" w:hAnsi="宋体"/>
          <w:sz w:val="24"/>
          <w:szCs w:val="24"/>
        </w:rPr>
        <w:t>2、效益指标完成情况</w:t>
      </w:r>
      <w:r>
        <w:rPr>
          <w:rFonts w:ascii="宋体" w:hAnsi="宋体"/>
          <w:sz w:val="24"/>
          <w:szCs w:val="24"/>
        </w:rPr>
        <w:t>……………………………………………………………………………</w:t>
      </w:r>
      <w:r>
        <w:rPr>
          <w:rFonts w:hint="eastAsia" w:ascii="宋体" w:hAnsi="宋体"/>
          <w:sz w:val="24"/>
          <w:szCs w:val="24"/>
        </w:rPr>
        <w:t>5</w:t>
      </w:r>
    </w:p>
    <w:p>
      <w:pPr>
        <w:spacing w:line="360" w:lineRule="auto"/>
        <w:rPr>
          <w:rFonts w:ascii="宋体" w:hAnsi="宋体"/>
          <w:sz w:val="24"/>
          <w:szCs w:val="24"/>
        </w:rPr>
      </w:pPr>
      <w:r>
        <w:rPr>
          <w:rFonts w:hint="eastAsia" w:ascii="宋体" w:hAnsi="宋体"/>
          <w:sz w:val="24"/>
          <w:szCs w:val="24"/>
        </w:rPr>
        <w:t>四、存在问题及原因分析</w:t>
      </w:r>
      <w:r>
        <w:rPr>
          <w:rFonts w:ascii="宋体" w:hAnsi="宋体"/>
          <w:sz w:val="24"/>
          <w:szCs w:val="24"/>
        </w:rPr>
        <w:t>……………………………………………………………………………</w:t>
      </w:r>
      <w:r>
        <w:rPr>
          <w:rFonts w:hint="eastAsia" w:ascii="宋体" w:hAnsi="宋体"/>
          <w:sz w:val="24"/>
          <w:szCs w:val="24"/>
        </w:rPr>
        <w:t>5</w:t>
      </w:r>
    </w:p>
    <w:p>
      <w:pPr>
        <w:pStyle w:val="9"/>
      </w:pPr>
      <w:r>
        <w:fldChar w:fldCharType="begin"/>
      </w:r>
      <w:r>
        <w:instrText xml:space="preserve"> HYPERLINK \l "_Toc20726759" </w:instrText>
      </w:r>
      <w:r>
        <w:fldChar w:fldCharType="separate"/>
      </w:r>
      <w:r>
        <w:rPr>
          <w:rStyle w:val="14"/>
          <w:rFonts w:hint="eastAsia"/>
        </w:rPr>
        <w:t>五、自评结论及建议</w:t>
      </w:r>
      <w:r>
        <w:tab/>
      </w:r>
      <w:r>
        <w:rPr>
          <w:rFonts w:hint="eastAsia"/>
        </w:rPr>
        <w:t>6</w:t>
      </w:r>
      <w:r>
        <w:rPr>
          <w:rFonts w:hint="eastAsia"/>
        </w:rPr>
        <w:fldChar w:fldCharType="end"/>
      </w:r>
    </w:p>
    <w:p>
      <w:pPr>
        <w:pStyle w:val="10"/>
        <w:tabs>
          <w:tab w:val="right" w:leader="dot" w:pos="9736"/>
        </w:tabs>
        <w:spacing w:line="360" w:lineRule="auto"/>
        <w:rPr>
          <w:sz w:val="24"/>
        </w:rPr>
      </w:pPr>
      <w:r>
        <w:fldChar w:fldCharType="begin"/>
      </w:r>
      <w:r>
        <w:instrText xml:space="preserve"> HYPERLINK \l "_Toc20726760" </w:instrText>
      </w:r>
      <w:r>
        <w:fldChar w:fldCharType="separate"/>
      </w:r>
      <w:r>
        <w:rPr>
          <w:rStyle w:val="14"/>
          <w:rFonts w:hint="eastAsia"/>
          <w:sz w:val="24"/>
        </w:rPr>
        <w:t>（一）指标设定</w:t>
      </w:r>
      <w:r>
        <w:rPr>
          <w:sz w:val="24"/>
        </w:rPr>
        <w:tab/>
      </w:r>
      <w:r>
        <w:rPr>
          <w:rFonts w:hint="eastAsia"/>
          <w:sz w:val="24"/>
        </w:rPr>
        <w:t>6</w:t>
      </w:r>
      <w:r>
        <w:rPr>
          <w:rFonts w:hint="eastAsia"/>
          <w:sz w:val="24"/>
        </w:rPr>
        <w:fldChar w:fldCharType="end"/>
      </w:r>
    </w:p>
    <w:p>
      <w:pPr>
        <w:pStyle w:val="10"/>
        <w:tabs>
          <w:tab w:val="right" w:leader="dot" w:pos="9736"/>
        </w:tabs>
        <w:spacing w:line="360" w:lineRule="auto"/>
        <w:rPr>
          <w:sz w:val="24"/>
        </w:rPr>
      </w:pPr>
      <w:r>
        <w:fldChar w:fldCharType="begin"/>
      </w:r>
      <w:r>
        <w:instrText xml:space="preserve"> HYPERLINK \l "_Toc20726761" </w:instrText>
      </w:r>
      <w:r>
        <w:fldChar w:fldCharType="separate"/>
      </w:r>
      <w:r>
        <w:rPr>
          <w:rStyle w:val="14"/>
          <w:rFonts w:hint="eastAsia"/>
          <w:sz w:val="24"/>
        </w:rPr>
        <w:t>（二）评分结果</w:t>
      </w:r>
      <w:r>
        <w:rPr>
          <w:sz w:val="24"/>
        </w:rPr>
        <w:tab/>
      </w:r>
      <w:r>
        <w:rPr>
          <w:rFonts w:hint="eastAsia"/>
          <w:sz w:val="24"/>
        </w:rPr>
        <w:t>6</w:t>
      </w:r>
      <w:r>
        <w:rPr>
          <w:rFonts w:hint="eastAsia"/>
          <w:sz w:val="24"/>
        </w:rPr>
        <w:fldChar w:fldCharType="end"/>
      </w:r>
    </w:p>
    <w:p>
      <w:pPr>
        <w:tabs>
          <w:tab w:val="left" w:pos="480"/>
        </w:tabs>
        <w:spacing w:line="360" w:lineRule="auto"/>
        <w:ind w:firstLine="480" w:firstLineChars="200"/>
        <w:rPr>
          <w:rFonts w:ascii="宋体" w:hAnsi="宋体"/>
          <w:sz w:val="24"/>
          <w:szCs w:val="24"/>
        </w:rPr>
      </w:pPr>
      <w:r>
        <w:rPr>
          <w:rFonts w:hint="eastAsia" w:ascii="宋体" w:hAnsi="宋体"/>
          <w:sz w:val="24"/>
          <w:szCs w:val="24"/>
        </w:rPr>
        <w:t>1、投入（15分）</w:t>
      </w:r>
      <w:r>
        <w:rPr>
          <w:sz w:val="24"/>
          <w:szCs w:val="24"/>
        </w:rPr>
        <w:t>……………………………………………………………………………………………</w:t>
      </w:r>
      <w:r>
        <w:rPr>
          <w:rFonts w:hint="eastAsia"/>
          <w:sz w:val="24"/>
          <w:szCs w:val="24"/>
        </w:rPr>
        <w:t>.</w:t>
      </w:r>
      <w:r>
        <w:rPr>
          <w:sz w:val="24"/>
          <w:szCs w:val="24"/>
        </w:rPr>
        <w:t>………………………</w:t>
      </w:r>
      <w:r>
        <w:rPr>
          <w:rFonts w:hint="eastAsia"/>
          <w:sz w:val="24"/>
          <w:szCs w:val="24"/>
        </w:rPr>
        <w:t>.</w:t>
      </w:r>
      <w:r>
        <w:rPr>
          <w:rFonts w:hint="eastAsia" w:ascii="宋体" w:hAnsi="宋体"/>
          <w:sz w:val="24"/>
          <w:szCs w:val="24"/>
        </w:rPr>
        <w:t>8</w:t>
      </w:r>
    </w:p>
    <w:p>
      <w:pPr>
        <w:tabs>
          <w:tab w:val="left" w:pos="684"/>
        </w:tabs>
        <w:spacing w:line="360" w:lineRule="auto"/>
        <w:ind w:firstLine="480" w:firstLineChars="200"/>
        <w:rPr>
          <w:rFonts w:ascii="宋体" w:hAnsi="宋体"/>
          <w:sz w:val="24"/>
          <w:szCs w:val="24"/>
        </w:rPr>
      </w:pPr>
      <w:r>
        <w:rPr>
          <w:rFonts w:hint="eastAsia" w:ascii="宋体" w:hAnsi="宋体"/>
          <w:sz w:val="24"/>
          <w:szCs w:val="24"/>
        </w:rPr>
        <w:t>2、过程（30分）</w:t>
      </w:r>
      <w:r>
        <w:rPr>
          <w:sz w:val="24"/>
          <w:szCs w:val="24"/>
        </w:rPr>
        <w:t>……………………………………………………………………………………………</w:t>
      </w:r>
      <w:r>
        <w:rPr>
          <w:rFonts w:hint="eastAsia"/>
          <w:sz w:val="24"/>
          <w:szCs w:val="24"/>
        </w:rPr>
        <w:t>.</w:t>
      </w:r>
      <w:r>
        <w:rPr>
          <w:sz w:val="24"/>
          <w:szCs w:val="24"/>
        </w:rPr>
        <w:t>………………………</w:t>
      </w:r>
      <w:r>
        <w:rPr>
          <w:rFonts w:hint="eastAsia"/>
          <w:sz w:val="24"/>
          <w:szCs w:val="24"/>
        </w:rPr>
        <w:t>.</w:t>
      </w:r>
      <w:r>
        <w:rPr>
          <w:rFonts w:hint="eastAsia" w:ascii="宋体" w:hAnsi="宋体"/>
          <w:sz w:val="24"/>
          <w:szCs w:val="24"/>
        </w:rPr>
        <w:t>8</w:t>
      </w:r>
    </w:p>
    <w:p>
      <w:pPr>
        <w:tabs>
          <w:tab w:val="left" w:pos="684"/>
        </w:tabs>
        <w:spacing w:line="360" w:lineRule="auto"/>
        <w:ind w:firstLine="480" w:firstLineChars="200"/>
        <w:rPr>
          <w:rFonts w:ascii="宋体" w:hAnsi="宋体"/>
          <w:sz w:val="24"/>
          <w:szCs w:val="24"/>
        </w:rPr>
      </w:pPr>
      <w:r>
        <w:rPr>
          <w:rFonts w:hint="eastAsia" w:ascii="宋体" w:hAnsi="宋体"/>
          <w:sz w:val="24"/>
          <w:szCs w:val="24"/>
        </w:rPr>
        <w:t>3、产出（32分）</w:t>
      </w:r>
      <w:r>
        <w:rPr>
          <w:sz w:val="24"/>
          <w:szCs w:val="24"/>
        </w:rPr>
        <w:t>……………………………………………………………………………………………</w:t>
      </w:r>
      <w:r>
        <w:rPr>
          <w:rFonts w:hint="eastAsia"/>
          <w:sz w:val="24"/>
          <w:szCs w:val="24"/>
        </w:rPr>
        <w:t>.</w:t>
      </w:r>
      <w:r>
        <w:rPr>
          <w:sz w:val="24"/>
          <w:szCs w:val="24"/>
        </w:rPr>
        <w:t>………………………</w:t>
      </w:r>
      <w:r>
        <w:rPr>
          <w:rFonts w:hint="eastAsia"/>
          <w:sz w:val="24"/>
          <w:szCs w:val="24"/>
        </w:rPr>
        <w:t>.</w:t>
      </w:r>
      <w:r>
        <w:rPr>
          <w:rFonts w:hint="eastAsia" w:ascii="宋体" w:hAnsi="宋体"/>
          <w:sz w:val="24"/>
          <w:szCs w:val="24"/>
        </w:rPr>
        <w:t>9</w:t>
      </w:r>
    </w:p>
    <w:p>
      <w:pPr>
        <w:tabs>
          <w:tab w:val="left" w:pos="684"/>
        </w:tabs>
        <w:spacing w:line="360" w:lineRule="auto"/>
        <w:ind w:firstLine="480" w:firstLineChars="200"/>
        <w:rPr>
          <w:rFonts w:ascii="宋体" w:hAnsi="宋体"/>
          <w:sz w:val="24"/>
          <w:szCs w:val="24"/>
        </w:rPr>
      </w:pPr>
      <w:r>
        <w:rPr>
          <w:rFonts w:hint="eastAsia" w:ascii="宋体" w:hAnsi="宋体"/>
          <w:sz w:val="24"/>
          <w:szCs w:val="24"/>
        </w:rPr>
        <w:t>4、效益（15分）</w:t>
      </w:r>
      <w:r>
        <w:rPr>
          <w:sz w:val="24"/>
          <w:szCs w:val="24"/>
        </w:rPr>
        <w:t>……………………………………………………………………………………………</w:t>
      </w:r>
      <w:r>
        <w:rPr>
          <w:rFonts w:hint="eastAsia"/>
          <w:sz w:val="24"/>
          <w:szCs w:val="24"/>
        </w:rPr>
        <w:t>.</w:t>
      </w:r>
      <w:r>
        <w:rPr>
          <w:sz w:val="24"/>
          <w:szCs w:val="24"/>
        </w:rPr>
        <w:t>………………………</w:t>
      </w:r>
      <w:r>
        <w:rPr>
          <w:rFonts w:hint="eastAsia"/>
          <w:sz w:val="24"/>
          <w:szCs w:val="24"/>
        </w:rPr>
        <w:t>.</w:t>
      </w:r>
      <w:r>
        <w:rPr>
          <w:rFonts w:hint="eastAsia" w:ascii="宋体" w:hAnsi="宋体"/>
          <w:sz w:val="24"/>
          <w:szCs w:val="24"/>
        </w:rPr>
        <w:t>9</w:t>
      </w:r>
    </w:p>
    <w:p>
      <w:pPr>
        <w:spacing w:line="360" w:lineRule="auto"/>
        <w:ind w:firstLine="360" w:firstLineChars="150"/>
        <w:rPr>
          <w:sz w:val="24"/>
          <w:szCs w:val="24"/>
        </w:rPr>
      </w:pPr>
      <w:r>
        <w:rPr>
          <w:rFonts w:hint="eastAsia"/>
          <w:sz w:val="24"/>
          <w:szCs w:val="24"/>
        </w:rPr>
        <w:t>（三）自评结论</w:t>
      </w:r>
      <w:r>
        <w:rPr>
          <w:sz w:val="24"/>
          <w:szCs w:val="24"/>
        </w:rPr>
        <w:t>………………………………………………………………………………………………</w:t>
      </w:r>
      <w:r>
        <w:rPr>
          <w:rFonts w:hint="eastAsia"/>
          <w:sz w:val="24"/>
          <w:szCs w:val="24"/>
        </w:rPr>
        <w:t>.</w:t>
      </w:r>
      <w:r>
        <w:rPr>
          <w:sz w:val="24"/>
          <w:szCs w:val="24"/>
        </w:rPr>
        <w:t>………………………</w:t>
      </w:r>
      <w:r>
        <w:rPr>
          <w:rFonts w:hint="eastAsia"/>
          <w:sz w:val="24"/>
          <w:szCs w:val="24"/>
        </w:rPr>
        <w:t>.9</w:t>
      </w:r>
    </w:p>
    <w:p>
      <w:pPr>
        <w:pStyle w:val="9"/>
        <w:ind w:firstLine="360" w:firstLineChars="150"/>
      </w:pPr>
      <w:r>
        <w:rPr>
          <w:rFonts w:hint="eastAsia"/>
        </w:rPr>
        <w:t>（四）主要经验做法</w:t>
      </w:r>
      <w:r>
        <w:t>………………………………………………………………………………………………………………</w:t>
      </w:r>
      <w:r>
        <w:rPr>
          <w:rFonts w:hint="eastAsia"/>
        </w:rPr>
        <w:t>10</w:t>
      </w:r>
    </w:p>
    <w:p>
      <w:pPr>
        <w:spacing w:line="360" w:lineRule="auto"/>
        <w:ind w:firstLine="360" w:firstLineChars="150"/>
        <w:rPr>
          <w:sz w:val="24"/>
          <w:szCs w:val="24"/>
        </w:rPr>
      </w:pPr>
      <w:r>
        <w:rPr>
          <w:rFonts w:hint="eastAsia"/>
          <w:sz w:val="24"/>
          <w:szCs w:val="24"/>
        </w:rPr>
        <w:t>（五）相关意见做法</w:t>
      </w:r>
      <w:r>
        <w:rPr>
          <w:sz w:val="24"/>
          <w:szCs w:val="24"/>
        </w:rPr>
        <w:t>………………………………………………………………………………………………………………</w:t>
      </w:r>
      <w:r>
        <w:rPr>
          <w:rFonts w:hint="eastAsia"/>
          <w:sz w:val="24"/>
          <w:szCs w:val="24"/>
        </w:rPr>
        <w:t>11</w:t>
      </w:r>
    </w:p>
    <w:p>
      <w:pPr>
        <w:pStyle w:val="10"/>
        <w:tabs>
          <w:tab w:val="right" w:leader="dot" w:pos="9736"/>
        </w:tabs>
        <w:spacing w:line="360" w:lineRule="auto"/>
        <w:ind w:left="0" w:leftChars="0"/>
        <w:rPr>
          <w:sz w:val="24"/>
        </w:rPr>
      </w:pPr>
      <w:r>
        <w:fldChar w:fldCharType="begin"/>
      </w:r>
      <w:r>
        <w:instrText xml:space="preserve"> HYPERLINK \l "_Toc20726762" </w:instrText>
      </w:r>
      <w:r>
        <w:fldChar w:fldCharType="separate"/>
      </w:r>
      <w:r>
        <w:rPr>
          <w:rStyle w:val="14"/>
          <w:rFonts w:hint="eastAsia"/>
          <w:sz w:val="24"/>
        </w:rPr>
        <w:t>六、需要说明的问题</w:t>
      </w:r>
      <w:r>
        <w:rPr>
          <w:sz w:val="24"/>
        </w:rPr>
        <w:tab/>
      </w:r>
      <w:r>
        <w:rPr>
          <w:sz w:val="24"/>
        </w:rPr>
        <w:t>………………………………………</w:t>
      </w:r>
      <w:r>
        <w:rPr>
          <w:rFonts w:hint="eastAsia"/>
          <w:sz w:val="24"/>
        </w:rPr>
        <w:t>..</w:t>
      </w:r>
      <w:r>
        <w:rPr>
          <w:rFonts w:hint="eastAsia"/>
          <w:sz w:val="24"/>
        </w:rPr>
        <w:fldChar w:fldCharType="end"/>
      </w:r>
      <w:r>
        <w:rPr>
          <w:rFonts w:hint="eastAsia"/>
          <w:sz w:val="24"/>
        </w:rPr>
        <w:t>11</w:t>
      </w:r>
    </w:p>
    <w:p>
      <w:pPr>
        <w:pStyle w:val="9"/>
      </w:pPr>
      <w:r>
        <w:fldChar w:fldCharType="begin"/>
      </w:r>
      <w:r>
        <w:instrText xml:space="preserve"> HYPERLINK \l "_Toc20726763" </w:instrText>
      </w:r>
      <w:r>
        <w:fldChar w:fldCharType="separate"/>
      </w:r>
      <w:r>
        <w:rPr>
          <w:rStyle w:val="14"/>
          <w:rFonts w:hint="eastAsia"/>
        </w:rPr>
        <w:t>七、相关附件</w:t>
      </w:r>
      <w:r>
        <w:tab/>
      </w:r>
      <w:r>
        <w:rPr>
          <w:rFonts w:hint="eastAsia"/>
        </w:rPr>
        <w:t>.</w:t>
      </w:r>
      <w:r>
        <w:rPr>
          <w:rFonts w:hint="eastAsia"/>
        </w:rPr>
        <w:fldChar w:fldCharType="end"/>
      </w:r>
      <w:r>
        <w:rPr>
          <w:rFonts w:hint="eastAsia"/>
        </w:rPr>
        <w:t>11</w:t>
      </w:r>
    </w:p>
    <w:p>
      <w:pPr>
        <w:pStyle w:val="9"/>
      </w:pPr>
      <w:r>
        <w:fldChar w:fldCharType="begin"/>
      </w:r>
      <w:r>
        <w:instrText xml:space="preserve"> HYPERLINK \l "_Toc20726772" </w:instrText>
      </w:r>
      <w:r>
        <w:fldChar w:fldCharType="separate"/>
      </w:r>
      <w:r>
        <w:rPr>
          <w:rStyle w:val="14"/>
          <w:rFonts w:hint="eastAsia"/>
        </w:rPr>
        <w:t>八、名词解释</w:t>
      </w:r>
      <w:r>
        <w:tab/>
      </w:r>
      <w:r>
        <w:rPr>
          <w:rFonts w:hint="eastAsia"/>
        </w:rPr>
        <w:t>16</w:t>
      </w:r>
      <w:r>
        <w:rPr>
          <w:rFonts w:hint="eastAsia"/>
        </w:rPr>
        <w:fldChar w:fldCharType="end"/>
      </w:r>
    </w:p>
    <w:p>
      <w:pPr>
        <w:spacing w:line="360" w:lineRule="auto"/>
        <w:rPr>
          <w:sz w:val="24"/>
        </w:rPr>
        <w:sectPr>
          <w:footerReference r:id="rId4" w:type="default"/>
          <w:pgSz w:w="11906" w:h="16838"/>
          <w:pgMar w:top="1440" w:right="1080" w:bottom="1440" w:left="1080" w:header="851" w:footer="992" w:gutter="0"/>
          <w:cols w:space="720" w:num="1"/>
          <w:docGrid w:type="lines" w:linePitch="312" w:charSpace="0"/>
        </w:sectPr>
      </w:pPr>
      <w:r>
        <w:rPr>
          <w:b/>
          <w:bCs/>
          <w:sz w:val="24"/>
          <w:lang w:val="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 w:name="_Toc20726746"/>
      <w:r>
        <w:rPr>
          <w:rFonts w:hint="eastAsia" w:ascii="黑体" w:hAnsi="黑体" w:eastAsia="黑体" w:cs="黑体"/>
          <w:sz w:val="32"/>
          <w:szCs w:val="32"/>
          <w:lang w:val="en-US" w:eastAsia="zh-CN"/>
        </w:rPr>
        <w:t>一、</w:t>
      </w:r>
      <w:r>
        <w:rPr>
          <w:rFonts w:hint="eastAsia" w:ascii="黑体" w:hAnsi="黑体" w:eastAsia="黑体" w:cs="黑体"/>
          <w:sz w:val="32"/>
          <w:szCs w:val="32"/>
        </w:rPr>
        <w:t>基本情况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白银区住房保障事务中心主要负责白银区保障性住房的建设、配售配租和廉租住房租赁补贴发放及房屋管理、维修等工作。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3" w:name="_Toc5709_WPSOffice_Level1"/>
      <w:bookmarkStart w:id="4" w:name="_Toc22552_WPSOffice_Level1"/>
      <w:bookmarkStart w:id="5" w:name="_Toc20726748"/>
      <w:bookmarkStart w:id="6" w:name="_Toc8138_WPSOffice_Level1"/>
      <w:bookmarkStart w:id="7" w:name="_Toc1572_WPSOffice_Level1"/>
      <w:r>
        <w:rPr>
          <w:rFonts w:hint="eastAsia" w:ascii="仿宋_GB2312" w:hAnsi="仿宋_GB2312" w:eastAsia="仿宋_GB2312" w:cs="仿宋_GB2312"/>
          <w:b/>
          <w:bCs/>
          <w:sz w:val="32"/>
          <w:szCs w:val="32"/>
        </w:rPr>
        <w:t>2、机构设置</w:t>
      </w:r>
      <w:bookmarkEnd w:id="3"/>
      <w:bookmarkEnd w:id="4"/>
      <w:bookmarkEnd w:id="5"/>
      <w:bookmarkEnd w:id="6"/>
      <w:bookmarkEnd w:id="7"/>
      <w:r>
        <w:rPr>
          <w:rFonts w:hint="eastAsia" w:ascii="仿宋_GB2312" w:hAnsi="仿宋_GB2312" w:eastAsia="仿宋_GB2312" w:cs="仿宋_GB2312"/>
          <w:b/>
          <w:bCs/>
          <w:sz w:val="32"/>
          <w:szCs w:val="32"/>
        </w:rPr>
        <w:t>及人员情况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银区住房保障事务中心隶属于白银区住房和城乡建设局，是正科级事业单位，财政全额补助的二级单位，执行政府会计制度，定编人数28人，实际在编人员23人（其中：正科级干部1人，副科级干部3人，一般干部10人，工勤9人），退休人员23人，合同工9人，无编制人员3人。局内设“四室三中心”，即办公室、财务室、档案室、项目办公室、住房保障中心、住房管理中心、物业管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8" w:name="_Toc5382_WPSOffice_Level1"/>
      <w:bookmarkStart w:id="9" w:name="_Toc26002_WPSOffice_Level1"/>
      <w:bookmarkStart w:id="10" w:name="_Toc20726749"/>
      <w:r>
        <w:rPr>
          <w:rFonts w:hint="eastAsia" w:ascii="仿宋_GB2312" w:hAnsi="仿宋_GB2312" w:eastAsia="仿宋_GB2312" w:cs="仿宋_GB2312"/>
          <w:b/>
          <w:bCs/>
          <w:sz w:val="32"/>
          <w:szCs w:val="32"/>
        </w:rPr>
        <w:t>3、部门收入预决算情况</w:t>
      </w:r>
      <w:bookmarkEnd w:id="8"/>
      <w:bookmarkEnd w:id="9"/>
      <w:bookmarkEnd w:id="10"/>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2020年白银区住房保障事务中心预算收入批复数为286.80万元，本年财政拨款收入决算数为11755.09万元，其中：工会事务收入0.85万元；机关事业单位基本养老保险缴费支出收入24.69万元；死亡抚恤收入5.53万元；其他社会保障和就业支出收入2.16万元；事业单位医疗收入13.45万元；公务员医疗补助收入9.50万元；其他行政事业单位医疗支出收入7.44万元；行政运行收入290.00万元；其他城乡社区公共设施支出收入300.00万元；棚户区改造收入528.82万元；公共租赁住房收入5.00万元；保障性住房租金补贴收入 198.03万元 ；其他保障性安居工程支出收入10348.39万元；住房公积金收入21.22万元，年初结转结余1.07万元。预算收入中只是当年公用经费资金收入，单位项目支出收入主要为中央、省、市专项资金，不在区级预算资金中列示，所以预决算收入存在较大差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11" w:name="_Toc13677_WPSOffice_Level1"/>
      <w:bookmarkStart w:id="12" w:name="_Toc20726750"/>
      <w:bookmarkStart w:id="13" w:name="_Toc1918_WPSOffice_Level1"/>
      <w:r>
        <w:rPr>
          <w:rFonts w:hint="eastAsia" w:ascii="仿宋_GB2312" w:hAnsi="仿宋_GB2312" w:eastAsia="仿宋_GB2312" w:cs="仿宋_GB2312"/>
          <w:b/>
          <w:bCs/>
          <w:sz w:val="32"/>
          <w:szCs w:val="32"/>
        </w:rPr>
        <w:t>4、部门支出预决算情况</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白银区住房保障事务中心预算支出数为286.80万元，其中：基本支出包括人员经费266.52万元和日常公用经费13.28万元，项目支出7.00万元。支出决算数为11755.09万元，其中基本支出包括人员经费330.96万元和日常公用经费41.89万元；项目支出11382.24万元（含基本建设类项目资本性支出10799.31万元），其中:城乡社区管理事务行政运行支出7.00万元； 其他城乡社区公共设施支出300.00万元；棚户区改造支出528.82万元；保障性住房租金补贴支出198.03万元；其他保障性安居工程支出10348.39万元。主要为中央、省、市专项资金，不在区级预算资金中列示，所以预决算支出存在较大差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14" w:name="_Toc13494_WPSOffice_Level1"/>
      <w:bookmarkStart w:id="15" w:name="_Toc20726751"/>
      <w:bookmarkStart w:id="16" w:name="_Toc17774_WPSOffice_Level1"/>
      <w:r>
        <w:rPr>
          <w:rFonts w:hint="eastAsia" w:ascii="仿宋_GB2312" w:hAnsi="仿宋_GB2312" w:eastAsia="仿宋_GB2312" w:cs="仿宋_GB2312"/>
          <w:b/>
          <w:bCs/>
          <w:sz w:val="32"/>
          <w:szCs w:val="32"/>
        </w:rPr>
        <w:t>5、年末结转和结余情况</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年末结转和结余1.07万元。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bookmarkStart w:id="17" w:name="_Toc13188_WPSOffice_Level1"/>
      <w:bookmarkStart w:id="18" w:name="_Toc20726753"/>
      <w:bookmarkStart w:id="19" w:name="_Toc6451_WPSOffice_Level1"/>
      <w:bookmarkStart w:id="20" w:name="_Toc29336_WPSOffice_Level1"/>
      <w:bookmarkStart w:id="21" w:name="_Toc13053_WPSOffice_Level1"/>
      <w:r>
        <w:rPr>
          <w:rFonts w:hint="eastAsia" w:ascii="楷体_GB2312" w:hAnsi="楷体_GB2312" w:eastAsia="楷体_GB2312" w:cs="楷体_GB2312"/>
          <w:b/>
          <w:bCs/>
          <w:sz w:val="32"/>
          <w:szCs w:val="32"/>
          <w:lang w:eastAsia="zh-CN"/>
        </w:rPr>
        <w:t>（二）自评范围</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自评范围为2020年白银区住房保障事务中心预决算收支及经费使用情况。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bookmarkStart w:id="22" w:name="_Toc10679_WPSOffice_Level1"/>
      <w:bookmarkStart w:id="23" w:name="_Toc31171_WPSOffice_Level1"/>
      <w:bookmarkStart w:id="24" w:name="_Toc20726754"/>
      <w:bookmarkStart w:id="25" w:name="_Toc2074_WPSOffice_Level1"/>
      <w:bookmarkStart w:id="26" w:name="_Toc19876_WPSOffice_Level1"/>
      <w:r>
        <w:rPr>
          <w:rFonts w:hint="eastAsia" w:ascii="楷体_GB2312" w:hAnsi="楷体_GB2312" w:eastAsia="楷体_GB2312" w:cs="楷体_GB2312"/>
          <w:b/>
          <w:bCs/>
          <w:sz w:val="32"/>
          <w:szCs w:val="32"/>
          <w:lang w:eastAsia="zh-CN"/>
        </w:rPr>
        <w:t>（三）自评目的</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加强整体支出管理，强化支出责任，提高资金使用效益，为以后年度预算资金分配使用提供有效支撑。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bookmarkStart w:id="27" w:name="_Toc7405_WPSOffice_Level1"/>
      <w:bookmarkStart w:id="28" w:name="_Toc5696_WPSOffice_Level1"/>
      <w:bookmarkStart w:id="29" w:name="_Toc2944_WPSOffice_Level1"/>
      <w:bookmarkStart w:id="30" w:name="_Toc32527_WPSOffice_Level1"/>
      <w:bookmarkStart w:id="31" w:name="_Toc20726755"/>
      <w:r>
        <w:rPr>
          <w:rFonts w:hint="eastAsia" w:ascii="楷体_GB2312" w:hAnsi="楷体_GB2312" w:eastAsia="楷体_GB2312" w:cs="楷体_GB2312"/>
          <w:b/>
          <w:bCs/>
          <w:sz w:val="32"/>
          <w:szCs w:val="32"/>
          <w:lang w:eastAsia="zh-CN"/>
        </w:rPr>
        <w:t>（四）自评依据</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一、《中华人民共和国预算法》；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二、《中华人民共和国会计法》；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三、《中华人民共和国政府采购法》；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四、《中华人民共和国合同法》；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五、《财政部关于印发&lt;财政支出绩效评价管理暂行办法&gt;的通知》（财预〔2011〕285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六、《财政部关于推进预算绩效管理的指导意见》（财预〔2011〕416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七、《预算绩效评价共性指标体系框架》（财预〔2013〕53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八、《关于规范绩效评价结果等级划分的通知》（财预便〔2017〕44 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bookmarkStart w:id="32" w:name="_Toc20726756"/>
      <w:bookmarkStart w:id="33" w:name="_Toc26594_WPSOffice_Level1"/>
      <w:bookmarkStart w:id="34" w:name="_Toc17743_WPSOffice_Level1"/>
      <w:bookmarkStart w:id="35" w:name="_Toc7020_WPSOffice_Level1"/>
      <w:bookmarkStart w:id="36" w:name="_Toc19965_WPSOffice_Level1"/>
      <w:r>
        <w:rPr>
          <w:rFonts w:hint="eastAsia" w:ascii="楷体_GB2312" w:hAnsi="楷体_GB2312" w:eastAsia="楷体_GB2312" w:cs="楷体_GB2312"/>
          <w:b/>
          <w:bCs/>
          <w:sz w:val="32"/>
          <w:szCs w:val="32"/>
          <w:lang w:eastAsia="zh-CN"/>
        </w:rPr>
        <w:t>（五）自评小组</w:t>
      </w:r>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白银区住房保障事务中心成立了2020年度整体支出绩效评价自评小组，评价工作小组名单：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长：吴有春  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副组长：王  宏  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宁  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员：强丽鹏  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强生林  项目办主任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慧  保障办主任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bookmarkStart w:id="37" w:name="_Toc20726757"/>
      <w:r>
        <w:rPr>
          <w:rFonts w:hint="eastAsia" w:ascii="仿宋_GB2312" w:hAnsi="仿宋_GB2312" w:eastAsia="仿宋_GB2312" w:cs="仿宋_GB2312"/>
          <w:sz w:val="32"/>
          <w:szCs w:val="32"/>
        </w:rPr>
        <w:t>王建高  财务室会计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（六）自评思路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2020年度整体支出绩效评价工作顺利推进，评价小组明确了评价思路。具体实施办法为：收集评价资料，制定评价方案；展开方案研讨，确定实施方案。开展评价工作细则：收集资料、核实数据，分析数据、综合打分，撰写报告、形成初稿，修改完善、最终定稿，提交2020年度部门整体支出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二、组织实施情况</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自评工作小组，对整体支出指标体系项目进行梳理，明确绩效评价内容；评价小组按照相关性、重要性、可比性、系统性及经济性、效率性和有效性原则，根据绩效评价关注点、评价需要和项目实际，就部门整体资金支出从投入、过程、产出、效果四个方面构建了本次项目绩效评价的指标体系；按照绩效评价报告框架，绩效分析、评价结论、主要经验及做法、存在问题及原因分析、相关工作建议等方面对白银区住房保障事务中心2020年整体收支绩效评价报告进行认真撰写。本次绩效评价过程中，由于受专业水平的局限性，在一定程度上影响了本次评价工作的深入开展和评价报告信息的完整呈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三、绩效目标实现程度</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2020年度评价财政资金为11755.09万元，基本支出包括人员经费330.96万元和日常公用经费41.89万元，其中：工会事务收入0.85万元；机关事业单位基本养老保险缴费支出收入24.69万元；死亡抚恤收入5.53万元；其他社会保障和就业支出收入2.16万元；事业单位医疗收入13.45万元；公务员医疗补助收入9.50万元；其他行政事业单位医疗支出收入7.44万元；行政运行收入283.00万元；住房公积金收入21.22万元；公共租赁住房收入5.00万元。项目支出11382.24万元，其中：城乡社区管理事务行政运行支出收入7.00万元； 其他城乡社区公共设施支出收入300.00万元；棚户区改造支出收入528.82万元；保障性住房租金补贴支出收入198.03万元；其他保障性安居工程支出收入10348.39万元。年初结转结余1.07万元。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预算完成率100%，公用经费控制率100%。基本支出：工资及福利支出270.44万元 ，商品和服务支出41.89万元，对个人和家庭的补助支出258.56万元，项目支出：城乡社区管理事务行政运行支出7.00万元；其他城乡社区公共设施支出300.00万元；棚户区改造支出528.82万元；保障性住房租金补贴支出198.03万元；其他保障性安居工程支出10348.39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（三）绩效指标完成情况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产出指标完成情况。2020年建设项目为银馨家园保障性住房建设项目，项目建成后改善了城区无房群众的居住条件，促进经济增长，带动相关产业发展。租赁补贴发放按预算安排，资金分配明细，按季度发放，制订了租赁补贴发放规定和机制并开展租赁补贴经费管理使用情况督查，全面履行本部门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项目建成后拉动周围相关产业发展，促进经济增长，经济效益显著，改善了城区居民生活条件，维护生态安全，社会效益明显，为加强保障性住房监管，推动房地产产业转型升级，推动房地产行业规范化建设，起到了重要作用，可持续影响深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（一）后期数据监测统计不到位。项目投资额度大、建设周期长。后期办理入住手续多，入住户数多，数据信息统计工作量大。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38" w:name="_Toc20726766"/>
      <w:r>
        <w:rPr>
          <w:rFonts w:hint="eastAsia" w:ascii="仿宋_GB2312" w:hAnsi="仿宋_GB2312" w:eastAsia="仿宋_GB2312" w:cs="仿宋_GB2312"/>
          <w:sz w:val="32"/>
          <w:szCs w:val="32"/>
          <w:lang w:eastAsia="zh-CN"/>
        </w:rPr>
        <w:t>（二）资金使用情况监控机制不完备。</w:t>
      </w:r>
      <w:bookmarkEnd w:id="38"/>
      <w:r>
        <w:rPr>
          <w:rFonts w:hint="eastAsia" w:ascii="仿宋_GB2312" w:hAnsi="仿宋_GB2312" w:eastAsia="仿宋_GB2312" w:cs="仿宋_GB2312"/>
          <w:sz w:val="32"/>
          <w:szCs w:val="32"/>
          <w:lang w:eastAsia="zh-CN"/>
        </w:rPr>
        <w:t>项目单位在资金的实际使用和管理过程中，并未制定系统的有关项目资金检查的管理 办法和资金监控机制，也未形成制度化的财务检查措施或手段，项目资金使用情况监控力度有待加强。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39" w:name="_Toc20726767"/>
      <w:r>
        <w:rPr>
          <w:rFonts w:hint="eastAsia" w:ascii="仿宋_GB2312" w:hAnsi="仿宋_GB2312" w:eastAsia="仿宋_GB2312" w:cs="仿宋_GB2312"/>
          <w:sz w:val="32"/>
          <w:szCs w:val="32"/>
        </w:rPr>
        <w:t>（三）预算绩效目标细化程度仍需完善。</w:t>
      </w:r>
      <w:bookmarkEnd w:id="39"/>
      <w:r>
        <w:rPr>
          <w:rFonts w:hint="eastAsia" w:ascii="仿宋_GB2312" w:hAnsi="仿宋_GB2312" w:eastAsia="仿宋_GB2312" w:cs="仿宋_GB2312"/>
          <w:sz w:val="32"/>
          <w:szCs w:val="32"/>
        </w:rPr>
        <w:t>2020年白银区住房保障事务中心根据事业发展规划和年度工作任务，针对重大专项支出制定了相应的绩效目标和指标，总体来说，符合合理性和明确性要求，但严格来讲，部门整体支出绩效目标和指标的细化程度还不够理想，绩效目标的导向作用仍需强化，绩效指标的具体实施应用上还有所欠缺，部门年度支出计划与部门工作计划、预期成效之间的联系还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40" w:name="_Toc20726759"/>
      <w:r>
        <w:rPr>
          <w:rFonts w:hint="eastAsia" w:ascii="黑体" w:hAnsi="黑体" w:eastAsia="黑体" w:cs="黑体"/>
          <w:sz w:val="32"/>
          <w:szCs w:val="32"/>
          <w:lang w:val="en-US" w:eastAsia="zh-CN"/>
        </w:rPr>
        <w:t>五、</w:t>
      </w:r>
      <w:bookmarkEnd w:id="40"/>
      <w:r>
        <w:rPr>
          <w:rFonts w:hint="eastAsia" w:ascii="黑体" w:hAnsi="黑体" w:eastAsia="黑体" w:cs="黑体"/>
          <w:sz w:val="32"/>
          <w:szCs w:val="32"/>
          <w:lang w:val="en-US" w:eastAsia="zh-CN"/>
        </w:rPr>
        <w:t>自评结论及建议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41" w:name="_Toc10507_WPSOffice_Level1"/>
      <w:bookmarkStart w:id="42" w:name="_Toc1723_WPSOffice_Level1"/>
      <w:bookmarkStart w:id="43" w:name="_Toc20726760"/>
      <w:bookmarkStart w:id="44" w:name="_Toc30571_WPSOffice_Level1"/>
      <w:bookmarkStart w:id="45" w:name="_Toc29470_WPSOffice_Level1"/>
      <w:r>
        <w:rPr>
          <w:rFonts w:hint="eastAsia" w:ascii="楷体_GB2312" w:hAnsi="楷体_GB2312" w:eastAsia="楷体_GB2312" w:cs="楷体_GB2312"/>
          <w:b/>
          <w:bCs/>
          <w:sz w:val="32"/>
          <w:szCs w:val="32"/>
        </w:rPr>
        <w:t>（一）指标设定</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工作自评小组结合部门整体支出实际情况，本着全面客观、科学合理的原则从投入、过程、产出、效益四个方面对部门整体收支绩效评价指标体系进行了构建。共设置一级指标4个，分别为：投入、过程、产出、效益；二级指标10个，分别为预算编制、目标设定、预算执行、财务管理、项目管理、人员管理、职责履行、经济效益、社会效益、生态效益、可持续影响；三级指标24个，总分值为100分。</w:t>
      </w:r>
    </w:p>
    <w:p>
      <w:pPr>
        <w:pStyle w:val="3"/>
        <w:numPr>
          <w:numId w:val="0"/>
        </w:numPr>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（二）评分结果</w:t>
      </w:r>
    </w:p>
    <w:tbl>
      <w:tblPr>
        <w:tblStyle w:val="12"/>
        <w:tblpPr w:leftFromText="180" w:rightFromText="180" w:vertAnchor="text" w:tblpY="1"/>
        <w:tblOverlap w:val="never"/>
        <w:tblW w:w="10032" w:type="dxa"/>
        <w:tblInd w:w="0" w:type="dxa"/>
        <w:tblLayout w:type="fixed"/>
        <w:tblCellMar>
          <w:top w:w="0" w:type="dxa"/>
          <w:left w:w="108" w:type="dxa"/>
          <w:bottom w:w="0" w:type="dxa"/>
          <w:right w:w="108" w:type="dxa"/>
        </w:tblCellMar>
      </w:tblPr>
      <w:tblGrid>
        <w:gridCol w:w="1275"/>
        <w:gridCol w:w="752"/>
        <w:gridCol w:w="1421"/>
        <w:gridCol w:w="752"/>
        <w:gridCol w:w="3798"/>
        <w:gridCol w:w="752"/>
        <w:gridCol w:w="750"/>
        <w:gridCol w:w="532"/>
      </w:tblGrid>
      <w:tr>
        <w:tblPrEx>
          <w:tblCellMar>
            <w:top w:w="0" w:type="dxa"/>
            <w:left w:w="108" w:type="dxa"/>
            <w:bottom w:w="0" w:type="dxa"/>
            <w:right w:w="108" w:type="dxa"/>
          </w:tblCellMar>
        </w:tblPrEx>
        <w:trPr>
          <w:gridAfter w:val="1"/>
          <w:wAfter w:w="532" w:type="dxa"/>
          <w:trHeight w:val="719" w:hRule="atLeast"/>
        </w:trPr>
        <w:tc>
          <w:tcPr>
            <w:tcW w:w="9500" w:type="dxa"/>
            <w:gridSpan w:val="7"/>
            <w:tcBorders>
              <w:top w:val="nil"/>
              <w:left w:val="nil"/>
              <w:bottom w:val="single" w:color="auto" w:sz="4" w:space="0"/>
              <w:right w:val="nil"/>
            </w:tcBorders>
            <w:vAlign w:val="center"/>
          </w:tcPr>
          <w:p>
            <w:pPr>
              <w:widowControl/>
              <w:jc w:val="center"/>
              <w:rPr>
                <w:rFonts w:ascii="宋体" w:hAnsi="宋体" w:cs="宋体"/>
                <w:b/>
                <w:bCs/>
                <w:color w:val="000000"/>
                <w:kern w:val="0"/>
                <w:sz w:val="32"/>
                <w:szCs w:val="36"/>
              </w:rPr>
            </w:pPr>
            <w:bookmarkStart w:id="46" w:name="RANGE!A1:H34"/>
            <w:r>
              <w:rPr>
                <w:rFonts w:hint="eastAsia" w:ascii="宋体" w:hAnsi="宋体" w:cs="宋体"/>
                <w:b/>
                <w:bCs/>
                <w:color w:val="000000"/>
                <w:kern w:val="0"/>
                <w:sz w:val="32"/>
                <w:szCs w:val="36"/>
              </w:rPr>
              <w:t xml:space="preserve">   2020年白银区住房保障事务中心部门整体支出绩效评价</w:t>
            </w:r>
            <w:bookmarkEnd w:id="46"/>
            <w:r>
              <w:rPr>
                <w:rFonts w:hint="eastAsia" w:ascii="宋体" w:hAnsi="宋体" w:cs="宋体"/>
                <w:b/>
                <w:bCs/>
                <w:color w:val="000000"/>
                <w:kern w:val="0"/>
                <w:sz w:val="32"/>
                <w:szCs w:val="36"/>
              </w:rPr>
              <w:t>打分表</w:t>
            </w:r>
          </w:p>
        </w:tc>
      </w:tr>
      <w:tr>
        <w:tblPrEx>
          <w:tblCellMar>
            <w:top w:w="0" w:type="dxa"/>
            <w:left w:w="108" w:type="dxa"/>
            <w:bottom w:w="0" w:type="dxa"/>
            <w:right w:w="108" w:type="dxa"/>
          </w:tblCellMar>
        </w:tblPrEx>
        <w:trPr>
          <w:trHeight w:val="719" w:hRule="atLeast"/>
        </w:trPr>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一级指标</w:t>
            </w:r>
          </w:p>
        </w:tc>
        <w:tc>
          <w:tcPr>
            <w:tcW w:w="7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分值</w:t>
            </w:r>
          </w:p>
        </w:tc>
        <w:tc>
          <w:tcPr>
            <w:tcW w:w="14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二级指标</w:t>
            </w:r>
          </w:p>
        </w:tc>
        <w:tc>
          <w:tcPr>
            <w:tcW w:w="7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分值</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三级指标</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分值</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FF0000"/>
                <w:kern w:val="0"/>
                <w:sz w:val="24"/>
                <w:szCs w:val="24"/>
              </w:rPr>
            </w:pPr>
            <w:r>
              <w:rPr>
                <w:rFonts w:hint="eastAsia" w:ascii="仿宋_GB2312" w:hAnsi="宋体" w:eastAsia="仿宋_GB2312" w:cs="宋体"/>
                <w:bCs/>
                <w:color w:val="000000"/>
                <w:kern w:val="0"/>
                <w:sz w:val="24"/>
                <w:szCs w:val="24"/>
              </w:rPr>
              <w:t>得分</w:t>
            </w:r>
          </w:p>
        </w:tc>
      </w:tr>
      <w:tr>
        <w:tblPrEx>
          <w:tblCellMar>
            <w:top w:w="0" w:type="dxa"/>
            <w:left w:w="108" w:type="dxa"/>
            <w:bottom w:w="0" w:type="dxa"/>
            <w:right w:w="108" w:type="dxa"/>
          </w:tblCellMar>
        </w:tblPrEx>
        <w:trPr>
          <w:trHeight w:val="719" w:hRule="atLeast"/>
        </w:trPr>
        <w:tc>
          <w:tcPr>
            <w:tcW w:w="1275"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投入</w:t>
            </w:r>
          </w:p>
        </w:tc>
        <w:tc>
          <w:tcPr>
            <w:tcW w:w="75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421"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w:t>
            </w:r>
          </w:p>
        </w:tc>
        <w:tc>
          <w:tcPr>
            <w:tcW w:w="75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预算编制合理性</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3</w:t>
            </w:r>
          </w:p>
        </w:tc>
      </w:tr>
      <w:tr>
        <w:tblPrEx>
          <w:tblCellMar>
            <w:top w:w="0" w:type="dxa"/>
            <w:left w:w="108" w:type="dxa"/>
            <w:bottom w:w="0" w:type="dxa"/>
            <w:right w:w="108" w:type="dxa"/>
          </w:tblCellMar>
        </w:tblPrEx>
        <w:trPr>
          <w:trHeight w:val="719" w:hRule="atLeast"/>
        </w:trPr>
        <w:tc>
          <w:tcPr>
            <w:tcW w:w="1275"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预算编制规范性</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3</w:t>
            </w:r>
          </w:p>
        </w:tc>
      </w:tr>
      <w:tr>
        <w:tblPrEx>
          <w:tblCellMar>
            <w:top w:w="0" w:type="dxa"/>
            <w:left w:w="108" w:type="dxa"/>
            <w:bottom w:w="0" w:type="dxa"/>
            <w:right w:w="108" w:type="dxa"/>
          </w:tblCellMar>
        </w:tblPrEx>
        <w:trPr>
          <w:trHeight w:val="719" w:hRule="atLeast"/>
        </w:trPr>
        <w:tc>
          <w:tcPr>
            <w:tcW w:w="1275"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财政拨款收入预决算差异率</w:t>
            </w:r>
          </w:p>
        </w:tc>
        <w:tc>
          <w:tcPr>
            <w:tcW w:w="752" w:type="dxa"/>
            <w:tcBorders>
              <w:top w:val="nil"/>
              <w:left w:val="nil"/>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2</w:t>
            </w:r>
          </w:p>
        </w:tc>
      </w:tr>
      <w:tr>
        <w:tblPrEx>
          <w:tblCellMar>
            <w:top w:w="0" w:type="dxa"/>
            <w:left w:w="108" w:type="dxa"/>
            <w:bottom w:w="0" w:type="dxa"/>
            <w:right w:w="108" w:type="dxa"/>
          </w:tblCellMar>
        </w:tblPrEx>
        <w:trPr>
          <w:trHeight w:val="719" w:hRule="atLeast"/>
        </w:trPr>
        <w:tc>
          <w:tcPr>
            <w:tcW w:w="1275"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目标设定</w:t>
            </w:r>
          </w:p>
        </w:tc>
        <w:tc>
          <w:tcPr>
            <w:tcW w:w="75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目标合理性</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3</w:t>
            </w:r>
          </w:p>
        </w:tc>
      </w:tr>
      <w:tr>
        <w:tblPrEx>
          <w:tblCellMar>
            <w:top w:w="0" w:type="dxa"/>
            <w:left w:w="108" w:type="dxa"/>
            <w:bottom w:w="0" w:type="dxa"/>
            <w:right w:w="108" w:type="dxa"/>
          </w:tblCellMar>
        </w:tblPrEx>
        <w:trPr>
          <w:trHeight w:val="719" w:hRule="atLeast"/>
        </w:trPr>
        <w:tc>
          <w:tcPr>
            <w:tcW w:w="1275"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目标明确性</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过程</w:t>
            </w:r>
          </w:p>
        </w:tc>
        <w:tc>
          <w:tcPr>
            <w:tcW w:w="75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421"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预算执行</w:t>
            </w:r>
          </w:p>
        </w:tc>
        <w:tc>
          <w:tcPr>
            <w:tcW w:w="7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预算完成率</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公用经费控制率</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0</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结转结余率</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2</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提前下达率</w:t>
            </w:r>
          </w:p>
        </w:tc>
        <w:tc>
          <w:tcPr>
            <w:tcW w:w="7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2</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政府采购执行率</w:t>
            </w:r>
          </w:p>
        </w:tc>
        <w:tc>
          <w:tcPr>
            <w:tcW w:w="7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p>
          <w:p>
            <w:pPr>
              <w:widowControl/>
              <w:jc w:val="center"/>
              <w:rPr>
                <w:rFonts w:ascii="宋体" w:hAnsi="宋体"/>
                <w:sz w:val="22"/>
              </w:rPr>
            </w:pPr>
            <w:r>
              <w:rPr>
                <w:rFonts w:hint="eastAsia" w:ascii="宋体" w:hAnsi="宋体"/>
                <w:sz w:val="22"/>
              </w:rPr>
              <w:t>2</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预决算信息公开性</w:t>
            </w:r>
          </w:p>
        </w:tc>
        <w:tc>
          <w:tcPr>
            <w:tcW w:w="7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资金使用规范性</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财务管理</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专项资金监管</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人员管理</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财政供养人员控制率</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制度管理</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管理制度健全性</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4</w:t>
            </w:r>
          </w:p>
        </w:tc>
      </w:tr>
      <w:tr>
        <w:tblPrEx>
          <w:tblCellMar>
            <w:top w:w="0" w:type="dxa"/>
            <w:left w:w="108" w:type="dxa"/>
            <w:bottom w:w="0" w:type="dxa"/>
            <w:right w:w="108" w:type="dxa"/>
          </w:tblCellMar>
        </w:tblPrEx>
        <w:trPr>
          <w:trHeight w:val="639" w:hRule="atLeast"/>
        </w:trPr>
        <w:tc>
          <w:tcPr>
            <w:tcW w:w="1275"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产出</w:t>
            </w:r>
          </w:p>
        </w:tc>
        <w:tc>
          <w:tcPr>
            <w:tcW w:w="75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421"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职责履行</w:t>
            </w:r>
          </w:p>
        </w:tc>
        <w:tc>
          <w:tcPr>
            <w:tcW w:w="75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保障性住房的建设、配售配租</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12</w:t>
            </w:r>
          </w:p>
        </w:tc>
      </w:tr>
      <w:tr>
        <w:tblPrEx>
          <w:tblCellMar>
            <w:top w:w="0" w:type="dxa"/>
            <w:left w:w="108" w:type="dxa"/>
            <w:bottom w:w="0" w:type="dxa"/>
            <w:right w:w="108" w:type="dxa"/>
          </w:tblCellMar>
        </w:tblPrEx>
        <w:trPr>
          <w:trHeight w:val="654"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廉租房租赁补贴发放</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282" w:type="dxa"/>
            <w:gridSpan w:val="2"/>
            <w:tcBorders>
              <w:top w:val="single" w:color="auto" w:sz="4" w:space="0"/>
              <w:bottom w:val="single" w:color="auto" w:sz="4" w:space="0"/>
              <w:right w:val="single" w:color="auto" w:sz="4" w:space="0"/>
            </w:tcBorders>
            <w:vAlign w:val="center"/>
          </w:tcPr>
          <w:p>
            <w:pPr>
              <w:widowControl/>
              <w:jc w:val="center"/>
              <w:rPr>
                <w:rFonts w:ascii="宋体" w:hAnsi="宋体"/>
                <w:sz w:val="22"/>
              </w:rPr>
            </w:pPr>
            <w:r>
              <w:rPr>
                <w:rFonts w:hint="eastAsia" w:ascii="宋体" w:hAnsi="宋体"/>
                <w:sz w:val="22"/>
              </w:rPr>
              <w:t>11</w:t>
            </w:r>
          </w:p>
        </w:tc>
      </w:tr>
      <w:tr>
        <w:tblPrEx>
          <w:tblCellMar>
            <w:top w:w="0" w:type="dxa"/>
            <w:left w:w="108" w:type="dxa"/>
            <w:bottom w:w="0" w:type="dxa"/>
            <w:right w:w="108" w:type="dxa"/>
          </w:tblCellMar>
        </w:tblPrEx>
        <w:trPr>
          <w:trHeight w:val="71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pStyle w:val="11"/>
              <w:widowControl/>
              <w:spacing w:line="440" w:lineRule="exact"/>
              <w:ind w:firstLine="640"/>
              <w:rPr>
                <w:rFonts w:ascii="仿宋_GB2312" w:hAnsi="宋体" w:eastAsia="仿宋_GB2312" w:cs="宋体"/>
                <w:color w:val="000000"/>
                <w:sz w:val="22"/>
                <w:szCs w:val="22"/>
              </w:rPr>
            </w:pPr>
            <w:r>
              <w:rPr>
                <w:rFonts w:hint="eastAsia" w:ascii="仿宋_GB2312" w:hAnsi="宋体" w:eastAsia="仿宋_GB2312" w:cs="宋体"/>
                <w:color w:val="000000"/>
                <w:sz w:val="22"/>
                <w:szCs w:val="22"/>
              </w:rPr>
              <w:t>房屋管理、维修等工作。</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9</w:t>
            </w:r>
          </w:p>
        </w:tc>
      </w:tr>
      <w:tr>
        <w:tblPrEx>
          <w:tblCellMar>
            <w:top w:w="0" w:type="dxa"/>
            <w:left w:w="108" w:type="dxa"/>
            <w:bottom w:w="0" w:type="dxa"/>
            <w:right w:w="108" w:type="dxa"/>
          </w:tblCellMar>
        </w:tblPrEx>
        <w:trPr>
          <w:trHeight w:val="609" w:hRule="atLeast"/>
        </w:trPr>
        <w:tc>
          <w:tcPr>
            <w:tcW w:w="1275"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效益</w:t>
            </w:r>
          </w:p>
        </w:tc>
        <w:tc>
          <w:tcPr>
            <w:tcW w:w="75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4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经济效益</w:t>
            </w:r>
          </w:p>
        </w:tc>
        <w:tc>
          <w:tcPr>
            <w:tcW w:w="752"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促进经济增长，带动相关产业发展</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4</w:t>
            </w:r>
          </w:p>
        </w:tc>
      </w:tr>
      <w:tr>
        <w:tblPrEx>
          <w:tblCellMar>
            <w:top w:w="0" w:type="dxa"/>
            <w:left w:w="108" w:type="dxa"/>
            <w:bottom w:w="0" w:type="dxa"/>
            <w:right w:w="108" w:type="dxa"/>
          </w:tblCellMar>
        </w:tblPrEx>
        <w:trPr>
          <w:trHeight w:val="669"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142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社会效益</w:t>
            </w:r>
          </w:p>
        </w:tc>
        <w:tc>
          <w:tcPr>
            <w:tcW w:w="75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改善城区无房群众居住条件</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2</w:t>
            </w:r>
          </w:p>
        </w:tc>
      </w:tr>
      <w:tr>
        <w:tblPrEx>
          <w:tblCellMar>
            <w:top w:w="0" w:type="dxa"/>
            <w:left w:w="108" w:type="dxa"/>
            <w:bottom w:w="0" w:type="dxa"/>
            <w:right w:w="108" w:type="dxa"/>
          </w:tblCellMar>
        </w:tblPrEx>
        <w:trPr>
          <w:trHeight w:val="550"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维护生态安全稳定</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2</w:t>
            </w:r>
          </w:p>
        </w:tc>
      </w:tr>
      <w:tr>
        <w:tblPrEx>
          <w:tblCellMar>
            <w:top w:w="0" w:type="dxa"/>
            <w:left w:w="108" w:type="dxa"/>
            <w:bottom w:w="0" w:type="dxa"/>
            <w:right w:w="108" w:type="dxa"/>
          </w:tblCellMar>
        </w:tblPrEx>
        <w:trPr>
          <w:trHeight w:val="654"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促进房产管理局核心能力建设</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2</w:t>
            </w:r>
          </w:p>
        </w:tc>
      </w:tr>
      <w:tr>
        <w:tblPrEx>
          <w:tblCellMar>
            <w:top w:w="0" w:type="dxa"/>
            <w:left w:w="108" w:type="dxa"/>
            <w:bottom w:w="0" w:type="dxa"/>
            <w:right w:w="108" w:type="dxa"/>
          </w:tblCellMar>
        </w:tblPrEx>
        <w:trPr>
          <w:trHeight w:val="624"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142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可持续影响</w:t>
            </w:r>
          </w:p>
        </w:tc>
        <w:tc>
          <w:tcPr>
            <w:tcW w:w="75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推动保障性住房规范化建设</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3</w:t>
            </w:r>
          </w:p>
        </w:tc>
      </w:tr>
      <w:tr>
        <w:tblPrEx>
          <w:tblCellMar>
            <w:top w:w="0" w:type="dxa"/>
            <w:left w:w="108" w:type="dxa"/>
            <w:bottom w:w="0" w:type="dxa"/>
            <w:right w:w="108" w:type="dxa"/>
          </w:tblCellMar>
        </w:tblPrEx>
        <w:trPr>
          <w:trHeight w:val="664" w:hRule="atLeast"/>
        </w:trPr>
        <w:tc>
          <w:tcPr>
            <w:tcW w:w="1275"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142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75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37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促进房地产市场健康发展</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82" w:type="dxa"/>
            <w:gridSpan w:val="2"/>
            <w:tcBorders>
              <w:top w:val="single" w:color="auto" w:sz="4" w:space="0"/>
              <w:bottom w:val="single" w:color="auto" w:sz="4" w:space="0"/>
              <w:right w:val="single" w:color="auto" w:sz="4" w:space="0"/>
            </w:tcBorders>
            <w:vAlign w:val="center"/>
          </w:tcPr>
          <w:p>
            <w:pPr>
              <w:widowControl/>
              <w:jc w:val="center"/>
              <w:rPr>
                <w:sz w:val="22"/>
              </w:rPr>
            </w:pPr>
            <w:r>
              <w:rPr>
                <w:rFonts w:hint="eastAsia"/>
                <w:sz w:val="22"/>
              </w:rPr>
              <w:t>2</w:t>
            </w:r>
          </w:p>
        </w:tc>
      </w:tr>
      <w:tr>
        <w:tblPrEx>
          <w:tblCellMar>
            <w:top w:w="0" w:type="dxa"/>
            <w:left w:w="108" w:type="dxa"/>
            <w:bottom w:w="0" w:type="dxa"/>
            <w:right w:w="108" w:type="dxa"/>
          </w:tblCellMar>
        </w:tblPrEx>
        <w:trPr>
          <w:trHeight w:val="719" w:hRule="atLeast"/>
        </w:trPr>
        <w:tc>
          <w:tcPr>
            <w:tcW w:w="79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总分</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282" w:type="dxa"/>
            <w:gridSpan w:val="2"/>
            <w:tcBorders>
              <w:top w:val="nil"/>
              <w:left w:val="nil"/>
              <w:bottom w:val="single" w:color="auto" w:sz="4" w:space="0"/>
              <w:right w:val="single" w:color="auto" w:sz="4" w:space="0"/>
            </w:tcBorders>
            <w:vAlign w:val="center"/>
          </w:tcPr>
          <w:p>
            <w:pPr>
              <w:widowControl/>
              <w:jc w:val="center"/>
              <w:rPr>
                <w:sz w:val="22"/>
              </w:rPr>
            </w:pPr>
            <w:r>
              <w:rPr>
                <w:rFonts w:hint="eastAsia"/>
                <w:sz w:val="22"/>
              </w:rPr>
              <w:t>92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总体得分为92分，分析如下：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入：（满分17分，得分15分）预算编制符合财政本年度有关预算编制原则和要求，部门预算分配不固化，根据实际情况合理调整，每年持续安排预算。预算编制指标中，财政拨款收入预决算差异率指标扣1分，财政拨款收入预决算差异率公式是：（实际完成数-预算数）/预算数*100%。2020年预算数中只包括区级经费资金，决算中的项目支出主要是中央省市专项资金，不在区级预算资金中列示，所以存在较大差异。2020年财政拨款收入预决算差异率为3998.71%，此差异不具有实际可比性，酌情扣1分；同时此差异也导致整体绩效目标与本年度部门预算资金不相匹配，酌情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2、过程：（满分为32分，得分为30分）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完成率100%，预决算信息公开及时完整，财务管理、人员管理指标完成情况良好。财务管理严格按照财务室规章制度执行，认真核算各项收支，遵守各项收入制度，公用经费控制率因本年度实际支出额大于期初预算安排金额而不得分；核算项目相关的各项资金，建立有效管理机制，执行情况良好；单位在编人数与核定编制数的比率为82.14%，单位财政供养人员控制率在标准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产出：（满分为36分，得分32分）职责履行指标包括保障性住房的建设、配售配租、廉租赁补贴发放、房屋管理、维修等工作。房屋管理、维修指标扣3分，没有制定维修人员防护保障措施及标准，不得分；廉租房租赁补贴发放没有完成当年发放任务扣1分；保障性住房的建设加快了建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"https://baike.so.com/doc/7022694-7245597.html"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保障性安居工程</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，改善城区无房群众居住条件，促进经济增长，带动相关产业发展，对于改善民生、促进社会和谐稳定具有重要意义，得满分。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效益：（满分为15分，得分为15分）效益指标分为经济效益、社会效益及可持续影响，三个三级指标都得满分。加快建设保障性安居工程，对相关产业发展具有很强的带动效应，促进经济增长的同时改善了居民生活条件，建设保障性安居工程，为今后扩大消费创造了有利条件。加快建设保障性住房，大力推进廉、公租房建设、棚户区改造、农村危房改造和实施游牧民定居工程，都是改善城乡居民消费环境和条件的有效举措，都将有利于城乡居民特别是低收入居民扩大消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（三）自评结论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价结果表明：白银区住房保障事务中心部门整体支出绩效评价实施效果显著，资金监管到位，项目的社会效益突出，环境效益持久，可持续影响较好。但是，在绩效评价过程中发现，项目绩效目标完成情况不容乐观，项目建设质量还有待提高。评价综合得分为92分，根据中华人民共和国财政部《关于规范绩效评价结果等级划分的通知》（财预便〔2017〕44号）文件，此次绩效评价等级为：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（四）主要经验做法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预算编制科学合理。预算绩效管理的科学化、有助于推动部门绩效目标的实现，促进资源合理配置财政资金的使用效率。年度部门整体支出预算编制、预算配置等方面加强了预算管理，预算编制清晰明确，预算配置合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预算编制清晰。白银区住房保障事务中心严格执行新预算法的规定，紧密围绕中央和省、市关于深化财税改革、建立财政制度的总体要求，坚持依法理财，更加贴近工作实际，切实提高编制质量，努力实现预算编制的科学、规范和透明，按照财政部门的相关要求以及部门实际收支情况，按照量入为出、收支平衡的原则编制了预算报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预算配置合理。白银区住房保障事务中心从实际需要出发在保障部门正常运转的基础上，合理安排项目支出，预算资金配置合理，并在不同项目、不同用途之间合理分配，各项资金按照既定支付进度及时足额到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内部管理成本控制有效。内部控制是保障单位内部规范有序、权力运行科学高效的有效手段，也是单位组织目标实现的长效保障机制。白银区住房保障事务中心围绕履行职能所涉及的主要经济和业务工作，制订了部门内部控制工作手册，包括白银区住房保障事务中心部门预算管理、收支业务管理、政府采购业务管理、建设项目管理、评价与监督管理等六个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47" w:name="_Toc20726769"/>
      <w:r>
        <w:rPr>
          <w:rFonts w:hint="eastAsia" w:ascii="楷体_GB2312" w:hAnsi="楷体_GB2312" w:eastAsia="楷体_GB2312" w:cs="楷体_GB2312"/>
          <w:b/>
          <w:bCs/>
          <w:sz w:val="32"/>
          <w:szCs w:val="32"/>
        </w:rPr>
        <w:t>（五）相关意见措施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一、建立信息监测统计系统。</w:t>
      </w:r>
      <w:bookmarkEnd w:id="47"/>
      <w:r>
        <w:rPr>
          <w:rFonts w:hint="eastAsia" w:ascii="仿宋_GB2312" w:hAnsi="仿宋_GB2312" w:eastAsia="仿宋_GB2312" w:cs="仿宋_GB2312"/>
          <w:sz w:val="32"/>
          <w:szCs w:val="32"/>
        </w:rPr>
        <w:t>不仅能够提高统计工作的质量，提高统计信息的利用率，还能提高统计分析和预测的水平，及时统计、上报数据。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48" w:name="_Toc20726770"/>
      <w:r>
        <w:rPr>
          <w:rFonts w:hint="eastAsia" w:ascii="仿宋_GB2312" w:hAnsi="仿宋_GB2312" w:eastAsia="仿宋_GB2312" w:cs="仿宋_GB2312"/>
          <w:sz w:val="32"/>
          <w:szCs w:val="32"/>
        </w:rPr>
        <w:t>二、建立严格的资金检查管理制度。</w:t>
      </w:r>
      <w:bookmarkEnd w:id="48"/>
      <w:r>
        <w:rPr>
          <w:rFonts w:hint="eastAsia" w:ascii="仿宋_GB2312" w:hAnsi="仿宋_GB2312" w:eastAsia="仿宋_GB2312" w:cs="仿宋_GB2312"/>
          <w:sz w:val="32"/>
          <w:szCs w:val="32"/>
        </w:rPr>
        <w:t>明确项目资金的定义和范围，项目资金是中央省市批复的专项资金，开支范围主要是保障性安居工程项目建设。不仅规范了项目资金管理，还能提高资金使用效益。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49" w:name="_Toc20726771"/>
      <w:r>
        <w:rPr>
          <w:rFonts w:hint="eastAsia" w:ascii="仿宋_GB2312" w:hAnsi="仿宋_GB2312" w:eastAsia="仿宋_GB2312" w:cs="仿宋_GB2312"/>
          <w:sz w:val="32"/>
          <w:szCs w:val="32"/>
        </w:rPr>
        <w:t>三、完善预算绩效目标细化程度。</w:t>
      </w:r>
      <w:bookmarkEnd w:id="49"/>
      <w:r>
        <w:rPr>
          <w:rFonts w:hint="eastAsia" w:ascii="仿宋_GB2312" w:hAnsi="仿宋_GB2312" w:eastAsia="仿宋_GB2312" w:cs="仿宋_GB2312"/>
          <w:sz w:val="32"/>
          <w:szCs w:val="32"/>
        </w:rPr>
        <w:t>绩效是一个组织或个人在一定时期内的投入产出情况，投入指的是人力、物力、时间等物质资源，产出指的是工作任务在数量、质量及效率方面的完成情况。完善预算绩效目标的细化程度有助于预算单位对财政资金支出的经济性、效率性和效益性进行更加客观、公正的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50" w:name="_Toc20726765"/>
      <w:r>
        <w:rPr>
          <w:rFonts w:hint="eastAsia" w:ascii="黑体" w:hAnsi="黑体" w:eastAsia="黑体" w:cs="黑体"/>
          <w:sz w:val="32"/>
          <w:szCs w:val="32"/>
        </w:rPr>
        <w:t>六、</w:t>
      </w:r>
      <w:bookmarkEnd w:id="50"/>
      <w:r>
        <w:rPr>
          <w:rFonts w:hint="eastAsia" w:ascii="黑体" w:hAnsi="黑体" w:eastAsia="黑体" w:cs="黑体"/>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Style w:val="24"/>
          <w:b w:val="0"/>
          <w:bCs/>
        </w:rPr>
      </w:pPr>
      <w:r>
        <w:rPr>
          <w:rStyle w:val="24"/>
          <w:rFonts w:hint="eastAsia"/>
          <w:b w:val="0"/>
          <w:bCs/>
        </w:rPr>
        <w:t>七、相关附件</w:t>
      </w:r>
    </w:p>
    <w:p>
      <w:pPr>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表1：绩效评级分值档次表</w:t>
      </w:r>
    </w:p>
    <w:tbl>
      <w:tblPr>
        <w:tblStyle w:val="12"/>
        <w:tblpPr w:leftFromText="180" w:rightFromText="180" w:vertAnchor="text" w:tblpY="1"/>
        <w:tblOverlap w:val="never"/>
        <w:tblW w:w="9021" w:type="dxa"/>
        <w:tblInd w:w="343" w:type="dxa"/>
        <w:tblLayout w:type="fixed"/>
        <w:tblCellMar>
          <w:top w:w="0" w:type="dxa"/>
          <w:left w:w="0" w:type="dxa"/>
          <w:bottom w:w="0" w:type="dxa"/>
          <w:right w:w="0" w:type="dxa"/>
        </w:tblCellMar>
      </w:tblPr>
      <w:tblGrid>
        <w:gridCol w:w="1508"/>
        <w:gridCol w:w="1843"/>
        <w:gridCol w:w="2061"/>
        <w:gridCol w:w="1804"/>
        <w:gridCol w:w="1805"/>
      </w:tblGrid>
      <w:tr>
        <w:tblPrEx>
          <w:tblCellMar>
            <w:top w:w="0" w:type="dxa"/>
            <w:left w:w="0" w:type="dxa"/>
            <w:bottom w:w="0" w:type="dxa"/>
            <w:right w:w="0" w:type="dxa"/>
          </w:tblCellMar>
        </w:tblPrEx>
        <w:trPr>
          <w:trHeight w:val="553" w:hRule="atLeast"/>
        </w:trPr>
        <w:tc>
          <w:tcPr>
            <w:tcW w:w="1508" w:type="dxa"/>
            <w:tcBorders>
              <w:top w:val="double" w:color="000000" w:sz="2" w:space="0"/>
              <w:left w:val="double" w:color="000000" w:sz="2" w:space="0"/>
              <w:bottom w:val="single" w:color="000000" w:sz="6" w:space="0"/>
              <w:right w:val="single" w:color="000000" w:sz="6" w:space="0"/>
            </w:tcBorders>
            <w:shd w:val="clear" w:color="auto" w:fill="B8CCE3"/>
          </w:tcPr>
          <w:p>
            <w:pPr>
              <w:spacing w:line="600" w:lineRule="exact"/>
              <w:jc w:val="center"/>
              <w:rPr>
                <w:rFonts w:ascii="仿宋_GB2312" w:hAnsi="Times New Roman" w:eastAsia="仿宋_GB2312" w:cs="Times New Roman"/>
                <w:b/>
                <w:sz w:val="32"/>
                <w:szCs w:val="32"/>
              </w:rPr>
            </w:pPr>
            <w:r>
              <w:rPr>
                <w:rFonts w:ascii="仿宋_GB2312" w:hAnsi="Times New Roman" w:eastAsia="仿宋_GB2312" w:cs="Times New Roman"/>
                <w:b/>
                <w:sz w:val="32"/>
                <w:szCs w:val="32"/>
              </w:rPr>
              <w:t>档次</w:t>
            </w:r>
          </w:p>
        </w:tc>
        <w:tc>
          <w:tcPr>
            <w:tcW w:w="1843" w:type="dxa"/>
            <w:tcBorders>
              <w:top w:val="double" w:color="000000" w:sz="2" w:space="0"/>
              <w:left w:val="nil"/>
              <w:bottom w:val="single" w:color="000000" w:sz="6" w:space="0"/>
              <w:right w:val="single" w:color="000000" w:sz="6" w:space="0"/>
            </w:tcBorders>
            <w:shd w:val="clear" w:color="auto" w:fill="B8CCE3"/>
          </w:tcPr>
          <w:p>
            <w:pPr>
              <w:spacing w:line="600" w:lineRule="exact"/>
              <w:jc w:val="center"/>
              <w:rPr>
                <w:rFonts w:ascii="仿宋_GB2312" w:hAnsi="Times New Roman" w:eastAsia="仿宋_GB2312" w:cs="Times New Roman"/>
                <w:b/>
                <w:sz w:val="32"/>
                <w:szCs w:val="32"/>
              </w:rPr>
            </w:pPr>
            <w:r>
              <w:rPr>
                <w:rFonts w:ascii="仿宋_GB2312" w:hAnsi="Times New Roman" w:eastAsia="仿宋_GB2312" w:cs="Times New Roman"/>
                <w:b/>
                <w:sz w:val="32"/>
                <w:szCs w:val="32"/>
              </w:rPr>
              <w:t>优</w:t>
            </w:r>
          </w:p>
        </w:tc>
        <w:tc>
          <w:tcPr>
            <w:tcW w:w="2061" w:type="dxa"/>
            <w:tcBorders>
              <w:top w:val="double" w:color="000000" w:sz="2" w:space="0"/>
              <w:left w:val="nil"/>
              <w:bottom w:val="single" w:color="000000" w:sz="6" w:space="0"/>
              <w:right w:val="single" w:color="000000" w:sz="6" w:space="0"/>
            </w:tcBorders>
            <w:shd w:val="clear" w:color="auto" w:fill="B8CCE3"/>
          </w:tcPr>
          <w:p>
            <w:pPr>
              <w:spacing w:line="600" w:lineRule="exact"/>
              <w:jc w:val="center"/>
              <w:rPr>
                <w:rFonts w:ascii="仿宋_GB2312" w:hAnsi="Times New Roman" w:eastAsia="仿宋_GB2312" w:cs="Times New Roman"/>
                <w:b/>
                <w:sz w:val="32"/>
                <w:szCs w:val="32"/>
              </w:rPr>
            </w:pPr>
            <w:r>
              <w:rPr>
                <w:rFonts w:ascii="仿宋_GB2312" w:hAnsi="Times New Roman" w:eastAsia="仿宋_GB2312" w:cs="Times New Roman"/>
                <w:b/>
                <w:sz w:val="32"/>
                <w:szCs w:val="32"/>
              </w:rPr>
              <w:t>良</w:t>
            </w:r>
          </w:p>
        </w:tc>
        <w:tc>
          <w:tcPr>
            <w:tcW w:w="1804" w:type="dxa"/>
            <w:tcBorders>
              <w:top w:val="double" w:color="000000" w:sz="2" w:space="0"/>
              <w:left w:val="nil"/>
              <w:bottom w:val="single" w:color="000000" w:sz="6" w:space="0"/>
              <w:right w:val="single" w:color="000000" w:sz="6" w:space="0"/>
            </w:tcBorders>
            <w:shd w:val="clear" w:color="auto" w:fill="B8CCE3"/>
          </w:tcPr>
          <w:p>
            <w:pPr>
              <w:spacing w:line="600" w:lineRule="exact"/>
              <w:jc w:val="center"/>
              <w:rPr>
                <w:rFonts w:ascii="仿宋_GB2312" w:hAnsi="Times New Roman" w:eastAsia="仿宋_GB2312" w:cs="Times New Roman"/>
                <w:b/>
                <w:sz w:val="32"/>
                <w:szCs w:val="32"/>
              </w:rPr>
            </w:pPr>
            <w:r>
              <w:rPr>
                <w:rFonts w:ascii="仿宋_GB2312" w:hAnsi="Times New Roman" w:eastAsia="仿宋_GB2312" w:cs="Times New Roman"/>
                <w:b/>
                <w:sz w:val="32"/>
                <w:szCs w:val="32"/>
              </w:rPr>
              <w:t>中</w:t>
            </w:r>
          </w:p>
        </w:tc>
        <w:tc>
          <w:tcPr>
            <w:tcW w:w="1805" w:type="dxa"/>
            <w:tcBorders>
              <w:top w:val="double" w:color="000000" w:sz="2" w:space="0"/>
              <w:left w:val="nil"/>
              <w:bottom w:val="single" w:color="000000" w:sz="6" w:space="0"/>
              <w:right w:val="double" w:color="000000" w:sz="2" w:space="0"/>
            </w:tcBorders>
            <w:shd w:val="clear" w:color="auto" w:fill="B8CCE3"/>
          </w:tcPr>
          <w:p>
            <w:pPr>
              <w:spacing w:line="600" w:lineRule="exact"/>
              <w:jc w:val="center"/>
              <w:rPr>
                <w:rFonts w:ascii="仿宋_GB2312" w:hAnsi="Times New Roman" w:eastAsia="仿宋_GB2312" w:cs="Times New Roman"/>
                <w:b/>
                <w:sz w:val="32"/>
                <w:szCs w:val="32"/>
              </w:rPr>
            </w:pPr>
            <w:r>
              <w:rPr>
                <w:rFonts w:ascii="仿宋_GB2312" w:hAnsi="Times New Roman" w:eastAsia="仿宋_GB2312" w:cs="Times New Roman"/>
                <w:b/>
                <w:sz w:val="32"/>
                <w:szCs w:val="32"/>
              </w:rPr>
              <w:t>差</w:t>
            </w:r>
          </w:p>
        </w:tc>
      </w:tr>
      <w:tr>
        <w:tblPrEx>
          <w:tblCellMar>
            <w:top w:w="0" w:type="dxa"/>
            <w:left w:w="0" w:type="dxa"/>
            <w:bottom w:w="0" w:type="dxa"/>
            <w:right w:w="0" w:type="dxa"/>
          </w:tblCellMar>
        </w:tblPrEx>
        <w:trPr>
          <w:trHeight w:val="568" w:hRule="atLeast"/>
        </w:trPr>
        <w:tc>
          <w:tcPr>
            <w:tcW w:w="1508" w:type="dxa"/>
            <w:tcBorders>
              <w:top w:val="single" w:color="000000" w:sz="6" w:space="0"/>
              <w:left w:val="double" w:color="000000" w:sz="2" w:space="0"/>
              <w:bottom w:val="double" w:color="000000" w:sz="2" w:space="0"/>
              <w:right w:val="single" w:color="000000" w:sz="6" w:space="0"/>
            </w:tcBorders>
          </w:tcPr>
          <w:p>
            <w:pPr>
              <w:spacing w:line="600" w:lineRule="exact"/>
              <w:jc w:val="center"/>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分值</w:t>
            </w:r>
          </w:p>
        </w:tc>
        <w:tc>
          <w:tcPr>
            <w:tcW w:w="1843" w:type="dxa"/>
            <w:tcBorders>
              <w:top w:val="single" w:color="000000" w:sz="6" w:space="0"/>
              <w:left w:val="nil"/>
              <w:bottom w:val="double" w:color="000000" w:sz="2" w:space="0"/>
              <w:right w:val="single" w:color="000000" w:sz="6" w:space="0"/>
            </w:tcBorders>
          </w:tcPr>
          <w:p>
            <w:pPr>
              <w:spacing w:line="600" w:lineRule="exac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90≦结果</w:t>
            </w:r>
          </w:p>
        </w:tc>
        <w:tc>
          <w:tcPr>
            <w:tcW w:w="2061" w:type="dxa"/>
            <w:tcBorders>
              <w:top w:val="single" w:color="000000" w:sz="6" w:space="0"/>
              <w:left w:val="nil"/>
              <w:bottom w:val="double" w:color="000000" w:sz="2" w:space="0"/>
              <w:right w:val="single" w:color="000000" w:sz="6" w:space="0"/>
            </w:tcBorders>
          </w:tcPr>
          <w:p>
            <w:pPr>
              <w:spacing w:line="600" w:lineRule="exac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80≦结果＜90</w:t>
            </w:r>
          </w:p>
        </w:tc>
        <w:tc>
          <w:tcPr>
            <w:tcW w:w="1804" w:type="dxa"/>
            <w:tcBorders>
              <w:top w:val="single" w:color="000000" w:sz="6" w:space="0"/>
              <w:left w:val="nil"/>
              <w:bottom w:val="double" w:color="000000" w:sz="2" w:space="0"/>
              <w:right w:val="single" w:color="000000" w:sz="6" w:space="0"/>
            </w:tcBorders>
          </w:tcPr>
          <w:p>
            <w:pPr>
              <w:spacing w:line="600" w:lineRule="exac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60≦结果＜80</w:t>
            </w:r>
          </w:p>
        </w:tc>
        <w:tc>
          <w:tcPr>
            <w:tcW w:w="1805" w:type="dxa"/>
            <w:tcBorders>
              <w:top w:val="single" w:color="000000" w:sz="6" w:space="0"/>
              <w:left w:val="nil"/>
              <w:bottom w:val="double" w:color="000000" w:sz="2" w:space="0"/>
              <w:right w:val="double" w:color="000000" w:sz="2" w:space="0"/>
            </w:tcBorders>
          </w:tcPr>
          <w:p>
            <w:pPr>
              <w:spacing w:line="600" w:lineRule="exac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结果＜60</w:t>
            </w:r>
          </w:p>
        </w:tc>
      </w:tr>
    </w:tbl>
    <w:p>
      <w:pPr>
        <w:spacing w:line="600" w:lineRule="exact"/>
        <w:ind w:firstLine="640" w:firstLineChars="200"/>
        <w:rPr>
          <w:rFonts w:ascii="仿宋_GB2312" w:hAnsi="Times New Roman" w:eastAsia="仿宋_GB2312" w:cs="Times New Roman"/>
          <w:color w:val="000000"/>
          <w:sz w:val="32"/>
          <w:szCs w:val="32"/>
        </w:rPr>
      </w:pPr>
      <w:r>
        <w:rPr>
          <w:rFonts w:ascii="Times New Roman" w:hAnsi="Times New Roman" w:eastAsia="仿宋_GB2312" w:cs="Times New Roman"/>
          <w:color w:val="000000"/>
          <w:sz w:val="32"/>
          <w:szCs w:val="32"/>
        </w:rPr>
        <w:br w:type="textWrapping" w:clear="all"/>
      </w:r>
      <w:r>
        <w:rPr>
          <w:rFonts w:hint="eastAsia" w:ascii="Times New Roman" w:hAnsi="Times New Roman" w:eastAsia="仿宋_GB2312" w:cs="Times New Roman"/>
          <w:color w:val="000000"/>
          <w:sz w:val="32"/>
          <w:szCs w:val="32"/>
        </w:rPr>
        <w:t xml:space="preserve">  备注</w:t>
      </w:r>
      <w:r>
        <w:rPr>
          <w:rFonts w:ascii="Times New Roman" w:hAnsi="Times New Roman" w:eastAsia="仿宋_GB2312" w:cs="Times New Roman"/>
          <w:color w:val="000000"/>
          <w:sz w:val="32"/>
          <w:szCs w:val="32"/>
        </w:rPr>
        <w:t xml:space="preserve">：综合评价满分是 100 </w:t>
      </w:r>
      <w:r>
        <w:rPr>
          <w:rFonts w:ascii="仿宋_GB2312" w:hAnsi="Times New Roman" w:eastAsia="仿宋_GB2312" w:cs="Times New Roman"/>
          <w:color w:val="000000"/>
          <w:sz w:val="32"/>
          <w:szCs w:val="32"/>
        </w:rPr>
        <w:t>分。</w:t>
      </w:r>
    </w:p>
    <w:tbl>
      <w:tblPr>
        <w:tblStyle w:val="12"/>
        <w:tblpPr w:leftFromText="180" w:rightFromText="180" w:vertAnchor="text" w:tblpY="1"/>
        <w:tblOverlap w:val="never"/>
        <w:tblW w:w="10349" w:type="dxa"/>
        <w:tblInd w:w="-176" w:type="dxa"/>
        <w:tblLayout w:type="fixed"/>
        <w:tblCellMar>
          <w:top w:w="0" w:type="dxa"/>
          <w:left w:w="108" w:type="dxa"/>
          <w:bottom w:w="0" w:type="dxa"/>
          <w:right w:w="108" w:type="dxa"/>
        </w:tblCellMar>
      </w:tblPr>
      <w:tblGrid>
        <w:gridCol w:w="532"/>
        <w:gridCol w:w="482"/>
        <w:gridCol w:w="546"/>
        <w:gridCol w:w="482"/>
        <w:gridCol w:w="953"/>
        <w:gridCol w:w="562"/>
        <w:gridCol w:w="3139"/>
        <w:gridCol w:w="3653"/>
      </w:tblGrid>
      <w:tr>
        <w:tblPrEx>
          <w:tblCellMar>
            <w:top w:w="0" w:type="dxa"/>
            <w:left w:w="108" w:type="dxa"/>
            <w:bottom w:w="0" w:type="dxa"/>
            <w:right w:w="108" w:type="dxa"/>
          </w:tblCellMar>
        </w:tblPrEx>
        <w:trPr>
          <w:trHeight w:val="1156" w:hRule="atLeast"/>
        </w:trPr>
        <w:tc>
          <w:tcPr>
            <w:tcW w:w="10349" w:type="dxa"/>
            <w:gridSpan w:val="8"/>
            <w:tcBorders>
              <w:top w:val="nil"/>
              <w:left w:val="nil"/>
              <w:bottom w:val="single" w:color="auto" w:sz="4" w:space="0"/>
              <w:right w:val="nil"/>
            </w:tcBorders>
            <w:vAlign w:val="center"/>
          </w:tcPr>
          <w:p>
            <w:pPr>
              <w:widowControl/>
              <w:jc w:val="center"/>
              <w:rPr>
                <w:rFonts w:ascii="仿宋_GB2312" w:hAnsi="宋体" w:eastAsia="仿宋_GB2312" w:cs="宋体"/>
                <w:bCs/>
                <w:color w:val="000000"/>
                <w:kern w:val="0"/>
                <w:sz w:val="32"/>
                <w:szCs w:val="36"/>
              </w:rPr>
            </w:pPr>
            <w:r>
              <w:rPr>
                <w:rFonts w:hint="eastAsia" w:ascii="宋体" w:hAnsi="宋体" w:cs="宋体"/>
                <w:b/>
                <w:bCs/>
                <w:color w:val="000000"/>
                <w:kern w:val="0"/>
                <w:sz w:val="32"/>
                <w:szCs w:val="36"/>
              </w:rPr>
              <w:t xml:space="preserve">  </w:t>
            </w:r>
            <w:r>
              <w:rPr>
                <w:rFonts w:hint="eastAsia" w:ascii="仿宋_GB2312" w:hAnsi="宋体" w:eastAsia="仿宋_GB2312" w:cs="宋体"/>
                <w:bCs/>
                <w:color w:val="000000"/>
                <w:kern w:val="0"/>
                <w:sz w:val="32"/>
                <w:szCs w:val="36"/>
              </w:rPr>
              <w:t xml:space="preserve"> 表2：2020年白银区住房保障事务中心部门整体支出绩效评价指标体系</w:t>
            </w:r>
          </w:p>
        </w:tc>
      </w:tr>
      <w:tr>
        <w:tblPrEx>
          <w:tblCellMar>
            <w:top w:w="0" w:type="dxa"/>
            <w:left w:w="108" w:type="dxa"/>
            <w:bottom w:w="0" w:type="dxa"/>
            <w:right w:w="108" w:type="dxa"/>
          </w:tblCellMar>
        </w:tblPrEx>
        <w:trPr>
          <w:trHeight w:val="439"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5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二级指标</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三级指标</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31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指标解释</w:t>
            </w:r>
          </w:p>
        </w:tc>
        <w:tc>
          <w:tcPr>
            <w:tcW w:w="36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评分标准</w:t>
            </w:r>
          </w:p>
        </w:tc>
      </w:tr>
      <w:tr>
        <w:tblPrEx>
          <w:tblCellMar>
            <w:top w:w="0" w:type="dxa"/>
            <w:left w:w="108" w:type="dxa"/>
            <w:bottom w:w="0" w:type="dxa"/>
            <w:right w:w="108" w:type="dxa"/>
          </w:tblCellMar>
        </w:tblPrEx>
        <w:trPr>
          <w:trHeight w:val="2293" w:hRule="atLeast"/>
        </w:trPr>
        <w:tc>
          <w:tcPr>
            <w:tcW w:w="532"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投入</w:t>
            </w:r>
          </w:p>
        </w:tc>
        <w:tc>
          <w:tcPr>
            <w:tcW w:w="4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546"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w:t>
            </w:r>
          </w:p>
        </w:tc>
        <w:tc>
          <w:tcPr>
            <w:tcW w:w="48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预算编制合理性</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考核部门预算的合理性，即是否符合本部门职责、资金有无根据项目的轻重缓急进行分配；</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部门预算分配不固化，根据实际情况合理调整，每年持续安排预算，得3分。</w:t>
            </w:r>
          </w:p>
        </w:tc>
      </w:tr>
      <w:tr>
        <w:tblPrEx>
          <w:tblCellMar>
            <w:top w:w="0" w:type="dxa"/>
            <w:left w:w="108" w:type="dxa"/>
            <w:bottom w:w="0" w:type="dxa"/>
            <w:right w:w="108" w:type="dxa"/>
          </w:tblCellMar>
        </w:tblPrEx>
        <w:trPr>
          <w:trHeight w:val="2130" w:hRule="atLeast"/>
        </w:trPr>
        <w:tc>
          <w:tcPr>
            <w:tcW w:w="53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预算编制规范性</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考核部门（单位）预算编制是否符合财政本年度有关预算编制的原则，例如在规范性和细致程度方面是否符合要求等；</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预算编制符合财政本年度有关预算编制原则和要求，得3分。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1410" w:hRule="atLeast"/>
        </w:trPr>
        <w:tc>
          <w:tcPr>
            <w:tcW w:w="53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财政拨款收入预决算差异率</w:t>
            </w:r>
          </w:p>
        </w:tc>
        <w:tc>
          <w:tcPr>
            <w:tcW w:w="562" w:type="dxa"/>
            <w:tcBorders>
              <w:top w:val="nil"/>
              <w:left w:val="nil"/>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反映部门（单位）收入预算编制的准确性；</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2020年预算数为</w:t>
            </w:r>
            <w:r>
              <w:rPr>
                <w:rFonts w:hint="eastAsia" w:ascii="仿宋" w:hAnsi="仿宋" w:eastAsia="仿宋" w:cs="仿宋_GB2312"/>
                <w:spacing w:val="-4"/>
                <w:sz w:val="22"/>
              </w:rPr>
              <w:t>286.80</w:t>
            </w:r>
            <w:r>
              <w:rPr>
                <w:rFonts w:hint="eastAsia" w:ascii="仿宋_GB2312" w:hAnsi="宋体" w:eastAsia="仿宋_GB2312" w:cs="宋体"/>
                <w:color w:val="000000"/>
                <w:kern w:val="0"/>
                <w:sz w:val="22"/>
              </w:rPr>
              <w:t>万元，主要是区级公用经费资金，决算数11755.09万元当中还包括中央省市专项资金，</w:t>
            </w:r>
            <w:r>
              <w:rPr>
                <w:rFonts w:hint="eastAsia" w:ascii="仿宋" w:hAnsi="仿宋" w:eastAsia="仿宋" w:cs="仿宋_GB2312"/>
                <w:spacing w:val="-4"/>
                <w:sz w:val="22"/>
              </w:rPr>
              <w:t>不在区级预算资金中列示，</w:t>
            </w:r>
            <w:r>
              <w:rPr>
                <w:rFonts w:hint="eastAsia" w:ascii="仿宋_GB2312" w:hAnsi="宋体" w:eastAsia="仿宋_GB2312" w:cs="宋体"/>
                <w:color w:val="000000"/>
                <w:kern w:val="0"/>
                <w:sz w:val="22"/>
              </w:rPr>
              <w:t>所以差异较大，扣1分</w:t>
            </w:r>
          </w:p>
        </w:tc>
      </w:tr>
      <w:tr>
        <w:tblPrEx>
          <w:tblCellMar>
            <w:top w:w="0" w:type="dxa"/>
            <w:left w:w="108" w:type="dxa"/>
            <w:bottom w:w="0" w:type="dxa"/>
            <w:right w:w="108" w:type="dxa"/>
          </w:tblCellMar>
        </w:tblPrEx>
        <w:trPr>
          <w:trHeight w:val="1875" w:hRule="atLeast"/>
        </w:trPr>
        <w:tc>
          <w:tcPr>
            <w:tcW w:w="53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目标设定</w:t>
            </w:r>
          </w:p>
        </w:tc>
        <w:tc>
          <w:tcPr>
            <w:tcW w:w="48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目标合理性</w:t>
            </w:r>
          </w:p>
        </w:tc>
        <w:tc>
          <w:tcPr>
            <w:tcW w:w="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部门所设立的整体绩效目标依据是否充分，是否符合客观实际，用以反映和考核部门整体绩效目标与部门履职、年度工作任务的相符性情况；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1.整体绩效目标体现部门 “三定”方案规定的部门职能，得1分；2.整体绩效目标体现部门中长期规划和年度工作计划，得1分；3.整体绩效目标能分解成具体工作任务，得1分；4.整体绩效目标与本年度部门预算资金不相匹配，不得分。</w:t>
            </w:r>
          </w:p>
        </w:tc>
      </w:tr>
      <w:tr>
        <w:tblPrEx>
          <w:tblCellMar>
            <w:top w:w="0" w:type="dxa"/>
            <w:left w:w="108" w:type="dxa"/>
            <w:bottom w:w="0" w:type="dxa"/>
            <w:right w:w="108" w:type="dxa"/>
          </w:tblCellMar>
        </w:tblPrEx>
        <w:trPr>
          <w:trHeight w:val="1905" w:hRule="atLeast"/>
        </w:trPr>
        <w:tc>
          <w:tcPr>
            <w:tcW w:w="532"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目标明确性</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部门依据整体绩效目标所设定的绩效指标是否清晰、细化、可衡量，用以反映和考核部门整体绩效目标的明细化情况；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1.绩效指标中包含体现部门履职效果的主要社会、经济效益指标，得1分；2.绩效指标具有清晰、可衡量指标值，得1分；3.绩效指标包含可量化指标的，得1分； 4.绩效目标的目标值测算能提供相关依据或符合客观实际情况，得1分；</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总分为4分。</w:t>
            </w:r>
          </w:p>
        </w:tc>
      </w:tr>
      <w:tr>
        <w:tblPrEx>
          <w:tblCellMar>
            <w:top w:w="0" w:type="dxa"/>
            <w:left w:w="108" w:type="dxa"/>
            <w:bottom w:w="0" w:type="dxa"/>
            <w:right w:w="108" w:type="dxa"/>
          </w:tblCellMar>
        </w:tblPrEx>
        <w:trPr>
          <w:trHeight w:val="1110" w:hRule="atLeast"/>
        </w:trPr>
        <w:tc>
          <w:tcPr>
            <w:tcW w:w="532"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过程</w:t>
            </w:r>
          </w:p>
        </w:tc>
        <w:tc>
          <w:tcPr>
            <w:tcW w:w="4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546"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预算执行</w:t>
            </w:r>
          </w:p>
        </w:tc>
        <w:tc>
          <w:tcPr>
            <w:tcW w:w="48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预算完成率</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部门（单位）本年度预算完成数与预算数的比率，用以反映和考核部门（单位）预算完成程度。预算完成率=（预算完成数/预算数）×100%。</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预算完成率为100%，得4分。</w:t>
            </w:r>
          </w:p>
        </w:tc>
      </w:tr>
      <w:tr>
        <w:tblPrEx>
          <w:tblCellMar>
            <w:top w:w="0" w:type="dxa"/>
            <w:left w:w="108" w:type="dxa"/>
            <w:bottom w:w="0" w:type="dxa"/>
            <w:right w:w="108" w:type="dxa"/>
          </w:tblCellMar>
        </w:tblPrEx>
        <w:trPr>
          <w:trHeight w:val="1380"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公用经费控制率</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部门（单位）本年度实际支出的公用经费总额与预算安排公用经费总额的比率，用以反映和考核部门对机构运转成本的实际控制程度；</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本年度实际支出公用经费总额≤预算安排公用经费总额，得2分；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112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结转结余率</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部门本年度结转结余额与本年度预算总额的比率，用以反映和考核部门（单位）对结转结余资金的实际控制程度；结转结余率=结转结余总额/支出预算数×100%；</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结转结余率≤5%，得2分；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1395" w:hRule="atLeast"/>
        </w:trPr>
        <w:tc>
          <w:tcPr>
            <w:tcW w:w="532"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提前下达率</w:t>
            </w:r>
          </w:p>
        </w:tc>
        <w:tc>
          <w:tcPr>
            <w:tcW w:w="5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反映部门是否按要求提前申请下达其主管的一般性转移支付和专项转移支付资金；</w:t>
            </w:r>
          </w:p>
        </w:tc>
        <w:tc>
          <w:tcPr>
            <w:tcW w:w="3653"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除自然灾害等突发性事件处理的资金和据实结算的体制补助等特殊项目外，提前下达一般性转移支付比例达90%、提前下达专项转移支付比例达70%；得2分。</w:t>
            </w:r>
          </w:p>
        </w:tc>
      </w:tr>
      <w:tr>
        <w:tblPrEx>
          <w:tblCellMar>
            <w:top w:w="0" w:type="dxa"/>
            <w:left w:w="108" w:type="dxa"/>
            <w:bottom w:w="0" w:type="dxa"/>
            <w:right w:w="108" w:type="dxa"/>
          </w:tblCellMar>
        </w:tblPrEx>
        <w:trPr>
          <w:trHeight w:val="2100" w:hRule="atLeast"/>
        </w:trPr>
        <w:tc>
          <w:tcPr>
            <w:tcW w:w="532"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政府采购执行率</w:t>
            </w:r>
          </w:p>
        </w:tc>
        <w:tc>
          <w:tcPr>
            <w:tcW w:w="5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部门本年度实际政府采购金额与年初政府采购预算的比率，用以反映和考核部门政府采购预算执行情况；政府采购执行率=（实际政府采购金额/政府采购预算数）×100%</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政府采购预算是指采购部门根据事业发展计划和行政任务编制，并经过规定程序批准的年度政府采购计划，得2分。</w:t>
            </w:r>
          </w:p>
        </w:tc>
      </w:tr>
      <w:tr>
        <w:tblPrEx>
          <w:tblCellMar>
            <w:top w:w="0" w:type="dxa"/>
            <w:left w:w="108" w:type="dxa"/>
            <w:bottom w:w="0" w:type="dxa"/>
            <w:right w:w="108" w:type="dxa"/>
          </w:tblCellMar>
        </w:tblPrEx>
        <w:trPr>
          <w:trHeight w:val="1347" w:hRule="atLeast"/>
        </w:trPr>
        <w:tc>
          <w:tcPr>
            <w:tcW w:w="532"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预决算信息公开性</w:t>
            </w:r>
          </w:p>
        </w:tc>
        <w:tc>
          <w:tcPr>
            <w:tcW w:w="5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部门是否按照政府信息公开有关规定公开相关预决算信息，用以反映和考核部门预决算管理的公开透明情况；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按规定内容，在规定时限和范围内公开，得4分；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241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资金使用规范性</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反映部门（单位）资金支出规范性，包括资金管理、费用支出等制度是否严格执行；会计核算是否规范反映，是否存在支出依据不合规、虚列项目支出等情况；是否存在截留、挤占和挪用项目资金情况；是否存在超标准开支的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1.预算执行规范，得1分；按规定履行调整报批手续，且按事项完成进度支付资金，得3分；总分4分</w:t>
            </w:r>
          </w:p>
        </w:tc>
      </w:tr>
      <w:tr>
        <w:tblPrEx>
          <w:tblCellMar>
            <w:top w:w="0" w:type="dxa"/>
            <w:left w:w="108" w:type="dxa"/>
            <w:bottom w:w="0" w:type="dxa"/>
            <w:right w:w="108" w:type="dxa"/>
          </w:tblCellMar>
        </w:tblPrEx>
        <w:trPr>
          <w:trHeight w:val="90"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财务管理</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专项资金监管</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反映部门（单位）对所管理的专项资金检查、监督等管理情况；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资金使用单位建立有效管理机制，且执行情况良好,得4分；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139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人员管理</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财政供养人员控制率</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部门（单位）本年度在编人数（含工勤人员）与核定编制数（含工勤人员）的比率；</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比率为82.14%小于100%，得4分</w:t>
            </w:r>
          </w:p>
        </w:tc>
      </w:tr>
      <w:tr>
        <w:tblPrEx>
          <w:tblCellMar>
            <w:top w:w="0" w:type="dxa"/>
            <w:left w:w="108" w:type="dxa"/>
            <w:bottom w:w="0" w:type="dxa"/>
            <w:right w:w="108" w:type="dxa"/>
          </w:tblCellMar>
        </w:tblPrEx>
        <w:trPr>
          <w:trHeight w:val="91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制度管理</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管理制度健全性</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部门（单位）是否制订并严格执行了相应的预算资金、财务管理和预算绩效管理制度等，用以反映部门的管理制度对其主要职责完成情况和事业发展的促进保障情况；</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1.制订了财政资金管理、内部财务管理制度并有效执行，得2分；2.建立内部控制制度和内控机制，得1分；3.落实了部门预算绩效管理相关规定，在本级单位开展绩效评价等工作，得1分；总分为4分。</w:t>
            </w:r>
          </w:p>
        </w:tc>
      </w:tr>
      <w:tr>
        <w:tblPrEx>
          <w:tblCellMar>
            <w:top w:w="0" w:type="dxa"/>
            <w:left w:w="108" w:type="dxa"/>
            <w:bottom w:w="0" w:type="dxa"/>
            <w:right w:w="108" w:type="dxa"/>
          </w:tblCellMar>
        </w:tblPrEx>
        <w:trPr>
          <w:trHeight w:val="1549" w:hRule="atLeast"/>
        </w:trPr>
        <w:tc>
          <w:tcPr>
            <w:tcW w:w="532"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产出</w:t>
            </w:r>
          </w:p>
        </w:tc>
        <w:tc>
          <w:tcPr>
            <w:tcW w:w="4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546"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职责履行</w:t>
            </w:r>
          </w:p>
        </w:tc>
        <w:tc>
          <w:tcPr>
            <w:tcW w:w="48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保障性住房的建设、配售配租</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highlight w:val="yellow"/>
              </w:rPr>
            </w:pPr>
            <w:r>
              <w:rPr>
                <w:rFonts w:ascii="仿宋_GB2312" w:hAnsi="宋体" w:eastAsia="仿宋_GB2312" w:cs="宋体"/>
                <w:color w:val="000000"/>
                <w:kern w:val="0"/>
                <w:sz w:val="22"/>
              </w:rPr>
              <w:t>保障性住房是指政府为</w:t>
            </w:r>
            <w:r>
              <w:fldChar w:fldCharType="begin"/>
            </w:r>
            <w:r>
              <w:instrText xml:space="preserve"> HYPERLINK "https://baike.so.com/doc/6956629-7179061.html" \t "_blank" </w:instrText>
            </w:r>
            <w:r>
              <w:fldChar w:fldCharType="separate"/>
            </w:r>
            <w:r>
              <w:rPr>
                <w:rFonts w:ascii="仿宋_GB2312" w:hAnsi="宋体" w:eastAsia="仿宋_GB2312" w:cs="宋体"/>
                <w:color w:val="000000"/>
                <w:kern w:val="0"/>
                <w:sz w:val="22"/>
              </w:rPr>
              <w:t>中低收入</w:t>
            </w:r>
            <w:r>
              <w:rPr>
                <w:rFonts w:ascii="仿宋_GB2312" w:hAnsi="宋体" w:eastAsia="仿宋_GB2312" w:cs="宋体"/>
                <w:color w:val="000000"/>
                <w:kern w:val="0"/>
                <w:sz w:val="22"/>
              </w:rPr>
              <w:fldChar w:fldCharType="end"/>
            </w:r>
            <w:r>
              <w:rPr>
                <w:rFonts w:ascii="仿宋_GB2312" w:hAnsi="宋体" w:eastAsia="仿宋_GB2312" w:cs="宋体"/>
                <w:color w:val="000000"/>
                <w:kern w:val="0"/>
                <w:sz w:val="22"/>
              </w:rPr>
              <w:t>住房困难家庭所提供的限定标准、限定价格或租金的住房</w:t>
            </w:r>
            <w:r>
              <w:rPr>
                <w:rFonts w:hint="eastAsia" w:ascii="仿宋_GB2312" w:hAnsi="宋体" w:eastAsia="仿宋_GB2312" w:cs="宋体"/>
                <w:color w:val="000000"/>
                <w:kern w:val="0"/>
                <w:sz w:val="22"/>
              </w:rPr>
              <w:t>。</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2020年建设项目为银馨家园保障性住房建设项目，改善城区无房群众居住条件，促进经济增长，带动相关产业发展。总分为12分。</w:t>
            </w:r>
          </w:p>
        </w:tc>
      </w:tr>
      <w:tr>
        <w:tblPrEx>
          <w:tblCellMar>
            <w:top w:w="0" w:type="dxa"/>
            <w:left w:w="108" w:type="dxa"/>
            <w:bottom w:w="0" w:type="dxa"/>
            <w:right w:w="108" w:type="dxa"/>
          </w:tblCellMar>
        </w:tblPrEx>
        <w:trPr>
          <w:trHeight w:val="2473"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廉租赁补贴发放</w:t>
            </w:r>
          </w:p>
        </w:tc>
        <w:tc>
          <w:tcPr>
            <w:tcW w:w="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实物配租是指县级以上地方人民政府向申请廉租住房保障的城市低收入住房困难家庭提供住房，并按照规定标准收取租金。</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1、有廉租房租赁补贴发放预算安排，资金分配明细，得4分；</w:t>
            </w:r>
          </w:p>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2、制订廉租房租赁补贴发放规定和机制的，得4分； 3、开展廉租房租赁补贴经费管理使用情况督查，得4分。</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总分为12分。</w:t>
            </w:r>
          </w:p>
        </w:tc>
      </w:tr>
      <w:tr>
        <w:tblPrEx>
          <w:tblCellMar>
            <w:top w:w="0" w:type="dxa"/>
            <w:left w:w="108" w:type="dxa"/>
            <w:bottom w:w="0" w:type="dxa"/>
            <w:right w:w="108" w:type="dxa"/>
          </w:tblCellMar>
        </w:tblPrEx>
        <w:trPr>
          <w:trHeight w:val="2044"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pStyle w:val="11"/>
              <w:widowControl/>
              <w:spacing w:line="440" w:lineRule="exact"/>
              <w:ind w:firstLine="640"/>
              <w:rPr>
                <w:rFonts w:ascii="仿宋_GB2312" w:hAnsi="宋体" w:eastAsia="仿宋_GB2312" w:cs="宋体"/>
                <w:color w:val="000000"/>
                <w:sz w:val="22"/>
                <w:szCs w:val="22"/>
              </w:rPr>
            </w:pPr>
            <w:r>
              <w:rPr>
                <w:rFonts w:hint="eastAsia" w:ascii="仿宋_GB2312" w:hAnsi="宋体" w:eastAsia="仿宋_GB2312" w:cs="宋体"/>
                <w:color w:val="000000"/>
                <w:sz w:val="22"/>
                <w:szCs w:val="22"/>
              </w:rPr>
              <w:t>房房屋管理、维修等工作。</w:t>
            </w:r>
          </w:p>
          <w:p>
            <w:pPr>
              <w:widowControl/>
              <w:jc w:val="center"/>
              <w:rPr>
                <w:rFonts w:ascii="仿宋_GB2312" w:hAnsi="宋体" w:eastAsia="仿宋_GB2312" w:cs="宋体"/>
                <w:color w:val="000000"/>
                <w:kern w:val="0"/>
                <w:sz w:val="22"/>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负责房屋维修资金和公有住房管理；</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1、有房屋维修资金经费预算安排，资金分配明细，得4分；2、有制定基层工作人员防护保障措施及标准，得4分； 3、开展了基层安全防护经费使用情况督查，得4分；总分为12分。</w:t>
            </w:r>
          </w:p>
        </w:tc>
      </w:tr>
      <w:tr>
        <w:tblPrEx>
          <w:tblCellMar>
            <w:top w:w="0" w:type="dxa"/>
            <w:left w:w="108" w:type="dxa"/>
            <w:bottom w:w="0" w:type="dxa"/>
            <w:right w:w="108" w:type="dxa"/>
          </w:tblCellMar>
        </w:tblPrEx>
        <w:trPr>
          <w:trHeight w:val="2070" w:hRule="atLeast"/>
        </w:trPr>
        <w:tc>
          <w:tcPr>
            <w:tcW w:w="532"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效益</w:t>
            </w:r>
          </w:p>
        </w:tc>
        <w:tc>
          <w:tcPr>
            <w:tcW w:w="48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54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经济效益</w:t>
            </w:r>
          </w:p>
        </w:tc>
        <w:tc>
          <w:tcPr>
            <w:tcW w:w="482"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促进经济增长，带动相关产业发展</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拉动周围相关产业发展，促进经济增长。</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拉动周围相关产业发展，促进经济增长，且效益显著，得4分。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61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5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社会效益</w:t>
            </w:r>
          </w:p>
        </w:tc>
        <w:tc>
          <w:tcPr>
            <w:tcW w:w="48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改善城区无房群众居住条件</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改善居民生活条件。</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改善居民生活条件，且效益显著，得2分。</w:t>
            </w:r>
          </w:p>
        </w:tc>
      </w:tr>
      <w:tr>
        <w:tblPrEx>
          <w:tblCellMar>
            <w:top w:w="0" w:type="dxa"/>
            <w:left w:w="108" w:type="dxa"/>
            <w:bottom w:w="0" w:type="dxa"/>
            <w:right w:w="108" w:type="dxa"/>
          </w:tblCellMar>
        </w:tblPrEx>
        <w:trPr>
          <w:trHeight w:val="870"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维护生态安全稳定</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生活与环保并重，构建资源节约的居住模式。</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维护生态安全，促进社会和谐稳定，且效益显著，得2分。</w:t>
            </w:r>
          </w:p>
        </w:tc>
      </w:tr>
      <w:tr>
        <w:tblPrEx>
          <w:tblCellMar>
            <w:top w:w="0" w:type="dxa"/>
            <w:left w:w="108" w:type="dxa"/>
            <w:bottom w:w="0" w:type="dxa"/>
            <w:right w:w="108" w:type="dxa"/>
          </w:tblCellMar>
        </w:tblPrEx>
        <w:trPr>
          <w:trHeight w:val="855"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促进房产管理局核心能力建设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白银区房产管理局内设机构设立合理，人员配备符合工作需求，具备履职尽责能力；</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机构健全，人员配备充足，具备履职尽责能力，得2分。</w:t>
            </w:r>
          </w:p>
        </w:tc>
      </w:tr>
      <w:tr>
        <w:tblPrEx>
          <w:tblCellMar>
            <w:top w:w="0" w:type="dxa"/>
            <w:left w:w="108" w:type="dxa"/>
            <w:bottom w:w="0" w:type="dxa"/>
            <w:right w:w="108" w:type="dxa"/>
          </w:tblCellMar>
        </w:tblPrEx>
        <w:trPr>
          <w:trHeight w:val="853"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5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可持续影响</w:t>
            </w:r>
          </w:p>
        </w:tc>
        <w:tc>
          <w:tcPr>
            <w:tcW w:w="482"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推动保障性住房规范化建设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加强保障性住房监管，推动房地产产业转型升级；</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推动房地产行业规范化建设，且效益显著，得3分.</w:t>
            </w:r>
          </w:p>
        </w:tc>
      </w:tr>
      <w:tr>
        <w:tblPrEx>
          <w:tblCellMar>
            <w:top w:w="0" w:type="dxa"/>
            <w:left w:w="108" w:type="dxa"/>
            <w:bottom w:w="0" w:type="dxa"/>
            <w:right w:w="108" w:type="dxa"/>
          </w:tblCellMar>
        </w:tblPrEx>
        <w:trPr>
          <w:trHeight w:val="840" w:hRule="atLeast"/>
        </w:trPr>
        <w:tc>
          <w:tcPr>
            <w:tcW w:w="5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rPr>
            </w:pPr>
          </w:p>
        </w:tc>
        <w:tc>
          <w:tcPr>
            <w:tcW w:w="48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rPr>
            </w:pPr>
          </w:p>
        </w:tc>
        <w:tc>
          <w:tcPr>
            <w:tcW w:w="9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促进房地产市场健康发展发展</w:t>
            </w:r>
          </w:p>
        </w:tc>
        <w:tc>
          <w:tcPr>
            <w:tcW w:w="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313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促进房地产市场健康发展，提供安全、有效和质量可控的保障性住房；</w:t>
            </w:r>
          </w:p>
        </w:tc>
        <w:tc>
          <w:tcPr>
            <w:tcW w:w="365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提供保障性住房居民良好的居住环境，且效益显著，得2分；</w:t>
            </w:r>
            <w:r>
              <w:rPr>
                <w:rFonts w:ascii="仿宋_GB2312" w:hAnsi="宋体" w:eastAsia="仿宋_GB2312" w:cs="宋体"/>
                <w:color w:val="000000"/>
                <w:kern w:val="0"/>
                <w:sz w:val="22"/>
              </w:rPr>
              <w:t xml:space="preserve"> </w:t>
            </w:r>
          </w:p>
        </w:tc>
      </w:tr>
      <w:tr>
        <w:tblPrEx>
          <w:tblCellMar>
            <w:top w:w="0" w:type="dxa"/>
            <w:left w:w="108" w:type="dxa"/>
            <w:bottom w:w="0" w:type="dxa"/>
            <w:right w:w="108" w:type="dxa"/>
          </w:tblCellMar>
        </w:tblPrEx>
        <w:trPr>
          <w:trHeight w:val="649" w:hRule="atLeast"/>
        </w:trPr>
        <w:tc>
          <w:tcPr>
            <w:tcW w:w="299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总分</w:t>
            </w:r>
          </w:p>
        </w:tc>
        <w:tc>
          <w:tcPr>
            <w:tcW w:w="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679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得分92</w:t>
            </w:r>
          </w:p>
        </w:tc>
      </w:tr>
    </w:tbl>
    <w:p>
      <w:pPr>
        <w:widowControl/>
        <w:spacing w:after="240"/>
        <w:jc w:val="left"/>
        <w:rPr>
          <w:rStyle w:val="24"/>
        </w:rPr>
      </w:pPr>
      <w:bookmarkStart w:id="51" w:name="_Toc20726772"/>
    </w:p>
    <w:p>
      <w:pPr>
        <w:widowControl/>
        <w:spacing w:after="240"/>
        <w:jc w:val="left"/>
        <w:rPr>
          <w:rStyle w:val="2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24"/>
          <w:rFonts w:hint="eastAsia"/>
          <w:b w:val="0"/>
          <w:bCs/>
        </w:rPr>
      </w:pPr>
      <w:r>
        <w:rPr>
          <w:rStyle w:val="24"/>
          <w:rFonts w:hint="eastAsia"/>
          <w:b w:val="0"/>
          <w:bCs/>
        </w:rPr>
        <w:t>名词解释</w:t>
      </w:r>
      <w:bookmarkEnd w:id="51"/>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绩效目标：是绩效预算管理的对象在一定期限内预期达到的产出和效果。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绩效目标管理：是财政部门及其所属单位以绩效目标为对象，以绩效目标的设定、审核和批复为内容所开展的预算管理活动。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绩效评价指标：是衡量绩效目标实现程度的考核工具。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绩效评价指标体系：是综合反映绩效总体现象的特定概念，是衡量和评价财政支出与项目实施的经济性、效率性和有效性的载体。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绩效评价：是财政部门和预算部门（单位）根据设定的绩效目标，运用科学、合理的绩效评价指标、评价标准和评价方法，对财政支出的经济性、效率性和效益性进行客观、公正的评价。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管理：预算绩效管理是指根据绩效理念，制定明确的预算支出绩效目标，建立规范的绩效评价指标体系，对绩效目标的实现程度进行评价，并把评价结果与预算编制紧密结合起来等环节组成的不断循环的综合过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7、部门预算：是指政府部门依据国家有关法律、法规、政策及其履行职能需要，编制的反映政府各部门所有收入和支出情况的年度财政收入预算。</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t>I</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73"/>
        <w:tab w:val="left" w:pos="7118"/>
      </w:tabs>
      <w:rPr>
        <w:rFonts w:ascii="仿宋_GB2312" w:eastAsia="仿宋_GB2312"/>
        <w:sz w:val="28"/>
        <w:szCs w:val="28"/>
      </w:rPr>
    </w:pPr>
    <w:r>
      <w:tab/>
    </w:r>
    <w:r>
      <w:tab/>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t>15</w:t>
    </w:r>
    <w:r>
      <w:rPr>
        <w:rFonts w:hint="eastAsia" w:ascii="仿宋_GB2312" w:eastAsia="仿宋_GB2312"/>
        <w:sz w:val="28"/>
        <w:szCs w:val="28"/>
      </w:rPr>
      <w:fldChar w:fldCharType="end"/>
    </w:r>
    <w:r>
      <w:rPr>
        <w:rFonts w:ascii="仿宋_GB2312" w:eastAsia="仿宋_GB2312"/>
        <w:sz w:val="28"/>
        <w:szCs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C9C03"/>
    <w:multiLevelType w:val="singleLevel"/>
    <w:tmpl w:val="CBCC9C03"/>
    <w:lvl w:ilvl="0" w:tentative="0">
      <w:start w:val="1"/>
      <w:numFmt w:val="decimal"/>
      <w:suff w:val="nothing"/>
      <w:lvlText w:val="%1、"/>
      <w:lvlJc w:val="left"/>
    </w:lvl>
  </w:abstractNum>
  <w:abstractNum w:abstractNumId="1">
    <w:nsid w:val="32DB26CB"/>
    <w:multiLevelType w:val="singleLevel"/>
    <w:tmpl w:val="32DB26CB"/>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36692"/>
    <w:rsid w:val="0000711C"/>
    <w:rsid w:val="00017510"/>
    <w:rsid w:val="000217CF"/>
    <w:rsid w:val="0002341A"/>
    <w:rsid w:val="00030E98"/>
    <w:rsid w:val="00036692"/>
    <w:rsid w:val="000520F3"/>
    <w:rsid w:val="00057CC4"/>
    <w:rsid w:val="00057E89"/>
    <w:rsid w:val="00060B77"/>
    <w:rsid w:val="00092D00"/>
    <w:rsid w:val="00095903"/>
    <w:rsid w:val="000B122C"/>
    <w:rsid w:val="000C0E0E"/>
    <w:rsid w:val="000D13C7"/>
    <w:rsid w:val="000D79E7"/>
    <w:rsid w:val="000E4119"/>
    <w:rsid w:val="000E7CA9"/>
    <w:rsid w:val="000F543A"/>
    <w:rsid w:val="00101755"/>
    <w:rsid w:val="00103513"/>
    <w:rsid w:val="00135331"/>
    <w:rsid w:val="001361C6"/>
    <w:rsid w:val="00146ABE"/>
    <w:rsid w:val="00166A8D"/>
    <w:rsid w:val="00181552"/>
    <w:rsid w:val="00182A2B"/>
    <w:rsid w:val="00196B79"/>
    <w:rsid w:val="001A3305"/>
    <w:rsid w:val="001A749E"/>
    <w:rsid w:val="001B0931"/>
    <w:rsid w:val="001B31E0"/>
    <w:rsid w:val="001C466F"/>
    <w:rsid w:val="001C4AED"/>
    <w:rsid w:val="001D1D73"/>
    <w:rsid w:val="001F0209"/>
    <w:rsid w:val="001F7920"/>
    <w:rsid w:val="00210AEA"/>
    <w:rsid w:val="00234CFF"/>
    <w:rsid w:val="002357DE"/>
    <w:rsid w:val="002428B4"/>
    <w:rsid w:val="00245967"/>
    <w:rsid w:val="0025525A"/>
    <w:rsid w:val="0026107F"/>
    <w:rsid w:val="0028150C"/>
    <w:rsid w:val="0028195E"/>
    <w:rsid w:val="002962A4"/>
    <w:rsid w:val="002A4B3F"/>
    <w:rsid w:val="002B16D0"/>
    <w:rsid w:val="002B2C4C"/>
    <w:rsid w:val="0033604B"/>
    <w:rsid w:val="003471E5"/>
    <w:rsid w:val="00351F18"/>
    <w:rsid w:val="00357A9F"/>
    <w:rsid w:val="00361A9A"/>
    <w:rsid w:val="003733B6"/>
    <w:rsid w:val="003759D7"/>
    <w:rsid w:val="00375B00"/>
    <w:rsid w:val="00383A6E"/>
    <w:rsid w:val="00391AC6"/>
    <w:rsid w:val="003927A2"/>
    <w:rsid w:val="00395827"/>
    <w:rsid w:val="003A5D67"/>
    <w:rsid w:val="003C3294"/>
    <w:rsid w:val="003D01AD"/>
    <w:rsid w:val="003E00BD"/>
    <w:rsid w:val="003E3B00"/>
    <w:rsid w:val="003E5B17"/>
    <w:rsid w:val="00422521"/>
    <w:rsid w:val="004259E3"/>
    <w:rsid w:val="00440C56"/>
    <w:rsid w:val="0044736B"/>
    <w:rsid w:val="00450605"/>
    <w:rsid w:val="00452672"/>
    <w:rsid w:val="00455BEE"/>
    <w:rsid w:val="00467568"/>
    <w:rsid w:val="0047117D"/>
    <w:rsid w:val="0047151D"/>
    <w:rsid w:val="004A1129"/>
    <w:rsid w:val="004A1B62"/>
    <w:rsid w:val="004A2F08"/>
    <w:rsid w:val="004A36E1"/>
    <w:rsid w:val="004B2490"/>
    <w:rsid w:val="004B6DCB"/>
    <w:rsid w:val="004C697C"/>
    <w:rsid w:val="004F28A1"/>
    <w:rsid w:val="00515C4C"/>
    <w:rsid w:val="005209E0"/>
    <w:rsid w:val="00525B81"/>
    <w:rsid w:val="005272C2"/>
    <w:rsid w:val="005477A6"/>
    <w:rsid w:val="0055177D"/>
    <w:rsid w:val="00560766"/>
    <w:rsid w:val="005613A0"/>
    <w:rsid w:val="00565938"/>
    <w:rsid w:val="005668BD"/>
    <w:rsid w:val="0057400D"/>
    <w:rsid w:val="00590B83"/>
    <w:rsid w:val="00597165"/>
    <w:rsid w:val="005A1F71"/>
    <w:rsid w:val="005A5B4B"/>
    <w:rsid w:val="005B233E"/>
    <w:rsid w:val="005B2F64"/>
    <w:rsid w:val="005B6E8C"/>
    <w:rsid w:val="005C0B9C"/>
    <w:rsid w:val="005C17B0"/>
    <w:rsid w:val="005C67FC"/>
    <w:rsid w:val="005E0C42"/>
    <w:rsid w:val="005F1B1E"/>
    <w:rsid w:val="00613313"/>
    <w:rsid w:val="006224D4"/>
    <w:rsid w:val="00626B91"/>
    <w:rsid w:val="006334B4"/>
    <w:rsid w:val="00645CF8"/>
    <w:rsid w:val="00651AD0"/>
    <w:rsid w:val="006544EC"/>
    <w:rsid w:val="00656891"/>
    <w:rsid w:val="00691C4A"/>
    <w:rsid w:val="0069431F"/>
    <w:rsid w:val="00696061"/>
    <w:rsid w:val="006A12D6"/>
    <w:rsid w:val="006B564D"/>
    <w:rsid w:val="006C1190"/>
    <w:rsid w:val="006C2D11"/>
    <w:rsid w:val="006C609A"/>
    <w:rsid w:val="006D41E4"/>
    <w:rsid w:val="006D4526"/>
    <w:rsid w:val="006F089E"/>
    <w:rsid w:val="006F6BD0"/>
    <w:rsid w:val="007010D7"/>
    <w:rsid w:val="00705EB1"/>
    <w:rsid w:val="007204DE"/>
    <w:rsid w:val="00741917"/>
    <w:rsid w:val="007733A9"/>
    <w:rsid w:val="0079342D"/>
    <w:rsid w:val="0079615C"/>
    <w:rsid w:val="007A04E4"/>
    <w:rsid w:val="007A30BF"/>
    <w:rsid w:val="007A3F86"/>
    <w:rsid w:val="007B4848"/>
    <w:rsid w:val="007C33D0"/>
    <w:rsid w:val="007D0827"/>
    <w:rsid w:val="007D0A6B"/>
    <w:rsid w:val="007D1239"/>
    <w:rsid w:val="007E3740"/>
    <w:rsid w:val="007E5DDB"/>
    <w:rsid w:val="007F160D"/>
    <w:rsid w:val="00820747"/>
    <w:rsid w:val="00820936"/>
    <w:rsid w:val="00824C1B"/>
    <w:rsid w:val="0084077B"/>
    <w:rsid w:val="00840DCB"/>
    <w:rsid w:val="00880602"/>
    <w:rsid w:val="0088717E"/>
    <w:rsid w:val="008A10D8"/>
    <w:rsid w:val="008A4134"/>
    <w:rsid w:val="008B3905"/>
    <w:rsid w:val="008B5DCE"/>
    <w:rsid w:val="008C4D91"/>
    <w:rsid w:val="008D130F"/>
    <w:rsid w:val="008E644E"/>
    <w:rsid w:val="008F6D09"/>
    <w:rsid w:val="00902194"/>
    <w:rsid w:val="00904354"/>
    <w:rsid w:val="0091386E"/>
    <w:rsid w:val="00930090"/>
    <w:rsid w:val="00930483"/>
    <w:rsid w:val="00930889"/>
    <w:rsid w:val="00944C58"/>
    <w:rsid w:val="009573CF"/>
    <w:rsid w:val="00970644"/>
    <w:rsid w:val="00970C3B"/>
    <w:rsid w:val="009753AE"/>
    <w:rsid w:val="00977DC7"/>
    <w:rsid w:val="00980068"/>
    <w:rsid w:val="00980CEE"/>
    <w:rsid w:val="00982A94"/>
    <w:rsid w:val="009A30B3"/>
    <w:rsid w:val="009B0D36"/>
    <w:rsid w:val="009B22F0"/>
    <w:rsid w:val="009B31F6"/>
    <w:rsid w:val="009B5F9A"/>
    <w:rsid w:val="009B779C"/>
    <w:rsid w:val="009C419F"/>
    <w:rsid w:val="009C4AFA"/>
    <w:rsid w:val="009D2546"/>
    <w:rsid w:val="009D7272"/>
    <w:rsid w:val="009F3290"/>
    <w:rsid w:val="009F654C"/>
    <w:rsid w:val="009F697B"/>
    <w:rsid w:val="00A13A73"/>
    <w:rsid w:val="00A15E9D"/>
    <w:rsid w:val="00A22CD1"/>
    <w:rsid w:val="00A306B3"/>
    <w:rsid w:val="00A33B9B"/>
    <w:rsid w:val="00A5413A"/>
    <w:rsid w:val="00A57A83"/>
    <w:rsid w:val="00A612A7"/>
    <w:rsid w:val="00A61DE1"/>
    <w:rsid w:val="00A7493C"/>
    <w:rsid w:val="00A75652"/>
    <w:rsid w:val="00AA0A7A"/>
    <w:rsid w:val="00AA0B53"/>
    <w:rsid w:val="00AA7D2D"/>
    <w:rsid w:val="00AC4AC1"/>
    <w:rsid w:val="00AC6511"/>
    <w:rsid w:val="00AD17C4"/>
    <w:rsid w:val="00AD3CE7"/>
    <w:rsid w:val="00AE49F6"/>
    <w:rsid w:val="00AE4D1A"/>
    <w:rsid w:val="00AE65C9"/>
    <w:rsid w:val="00AF177E"/>
    <w:rsid w:val="00AF71BB"/>
    <w:rsid w:val="00B03953"/>
    <w:rsid w:val="00B0597E"/>
    <w:rsid w:val="00B13BA8"/>
    <w:rsid w:val="00B13D56"/>
    <w:rsid w:val="00B16A34"/>
    <w:rsid w:val="00B261D6"/>
    <w:rsid w:val="00B36B08"/>
    <w:rsid w:val="00B46766"/>
    <w:rsid w:val="00B47ED0"/>
    <w:rsid w:val="00B56E13"/>
    <w:rsid w:val="00B6409C"/>
    <w:rsid w:val="00B64A21"/>
    <w:rsid w:val="00B65D8E"/>
    <w:rsid w:val="00B7601D"/>
    <w:rsid w:val="00BA3DC4"/>
    <w:rsid w:val="00BA768E"/>
    <w:rsid w:val="00BB5AF6"/>
    <w:rsid w:val="00BC1FEC"/>
    <w:rsid w:val="00BC7AE8"/>
    <w:rsid w:val="00BD6FD7"/>
    <w:rsid w:val="00BE4CFA"/>
    <w:rsid w:val="00BE649C"/>
    <w:rsid w:val="00BF1C30"/>
    <w:rsid w:val="00BF7896"/>
    <w:rsid w:val="00C0030B"/>
    <w:rsid w:val="00C017C6"/>
    <w:rsid w:val="00C23D5E"/>
    <w:rsid w:val="00C34B2B"/>
    <w:rsid w:val="00C361F8"/>
    <w:rsid w:val="00C41BF9"/>
    <w:rsid w:val="00C46081"/>
    <w:rsid w:val="00C51437"/>
    <w:rsid w:val="00C6133A"/>
    <w:rsid w:val="00C64ABE"/>
    <w:rsid w:val="00C65592"/>
    <w:rsid w:val="00C933DF"/>
    <w:rsid w:val="00CA660F"/>
    <w:rsid w:val="00CC2763"/>
    <w:rsid w:val="00CC3325"/>
    <w:rsid w:val="00CD0D3F"/>
    <w:rsid w:val="00CD4EF4"/>
    <w:rsid w:val="00CE0B6D"/>
    <w:rsid w:val="00CE3F74"/>
    <w:rsid w:val="00CE60DE"/>
    <w:rsid w:val="00CE76E1"/>
    <w:rsid w:val="00CF6C6C"/>
    <w:rsid w:val="00D22796"/>
    <w:rsid w:val="00D2399D"/>
    <w:rsid w:val="00D26EE8"/>
    <w:rsid w:val="00D2780C"/>
    <w:rsid w:val="00D333FD"/>
    <w:rsid w:val="00D33472"/>
    <w:rsid w:val="00D51D58"/>
    <w:rsid w:val="00D5345F"/>
    <w:rsid w:val="00D848AA"/>
    <w:rsid w:val="00D95CB8"/>
    <w:rsid w:val="00D97BAE"/>
    <w:rsid w:val="00DE74E5"/>
    <w:rsid w:val="00E20A74"/>
    <w:rsid w:val="00E22904"/>
    <w:rsid w:val="00E2398D"/>
    <w:rsid w:val="00E24833"/>
    <w:rsid w:val="00E263AB"/>
    <w:rsid w:val="00E31146"/>
    <w:rsid w:val="00E63885"/>
    <w:rsid w:val="00E66A8F"/>
    <w:rsid w:val="00E77019"/>
    <w:rsid w:val="00E8635F"/>
    <w:rsid w:val="00EB2F3B"/>
    <w:rsid w:val="00EB508C"/>
    <w:rsid w:val="00EC7615"/>
    <w:rsid w:val="00ED4214"/>
    <w:rsid w:val="00EE0FC8"/>
    <w:rsid w:val="00EE5DE0"/>
    <w:rsid w:val="00EE6EF7"/>
    <w:rsid w:val="00EF03D8"/>
    <w:rsid w:val="00EF580B"/>
    <w:rsid w:val="00F0175B"/>
    <w:rsid w:val="00F03C84"/>
    <w:rsid w:val="00F10EB0"/>
    <w:rsid w:val="00F12D39"/>
    <w:rsid w:val="00F34522"/>
    <w:rsid w:val="00F737D6"/>
    <w:rsid w:val="00F801BF"/>
    <w:rsid w:val="00F801ED"/>
    <w:rsid w:val="00F83146"/>
    <w:rsid w:val="00F91EF7"/>
    <w:rsid w:val="00F9220E"/>
    <w:rsid w:val="00F9640A"/>
    <w:rsid w:val="00F97274"/>
    <w:rsid w:val="00FA4E8B"/>
    <w:rsid w:val="00FA6D58"/>
    <w:rsid w:val="00FB0F82"/>
    <w:rsid w:val="00FB3D54"/>
    <w:rsid w:val="00FB4128"/>
    <w:rsid w:val="00FC5979"/>
    <w:rsid w:val="00FC7DB8"/>
    <w:rsid w:val="00FD37BC"/>
    <w:rsid w:val="00FD5654"/>
    <w:rsid w:val="0351129C"/>
    <w:rsid w:val="04F10830"/>
    <w:rsid w:val="08FA5E1A"/>
    <w:rsid w:val="09AE11F7"/>
    <w:rsid w:val="0A100734"/>
    <w:rsid w:val="0BDC54AA"/>
    <w:rsid w:val="0C223A75"/>
    <w:rsid w:val="0C424CF7"/>
    <w:rsid w:val="0DB9581D"/>
    <w:rsid w:val="0EDF0476"/>
    <w:rsid w:val="0F3A5A4D"/>
    <w:rsid w:val="11665836"/>
    <w:rsid w:val="150A6991"/>
    <w:rsid w:val="1B19337E"/>
    <w:rsid w:val="24E055A1"/>
    <w:rsid w:val="289F3D61"/>
    <w:rsid w:val="29AA01EA"/>
    <w:rsid w:val="2D645A08"/>
    <w:rsid w:val="2D6C4D4B"/>
    <w:rsid w:val="2F3801B3"/>
    <w:rsid w:val="2F5139C3"/>
    <w:rsid w:val="34B367CB"/>
    <w:rsid w:val="34D12253"/>
    <w:rsid w:val="36C83F6B"/>
    <w:rsid w:val="3B013DDA"/>
    <w:rsid w:val="3DDA48BC"/>
    <w:rsid w:val="3DE4548D"/>
    <w:rsid w:val="40A67B07"/>
    <w:rsid w:val="48104EC7"/>
    <w:rsid w:val="4B2A1C61"/>
    <w:rsid w:val="50736CC3"/>
    <w:rsid w:val="508F0E5D"/>
    <w:rsid w:val="50B079EF"/>
    <w:rsid w:val="54417183"/>
    <w:rsid w:val="55191CCC"/>
    <w:rsid w:val="56FA45C0"/>
    <w:rsid w:val="580402F6"/>
    <w:rsid w:val="587D172B"/>
    <w:rsid w:val="58E94996"/>
    <w:rsid w:val="59202CE6"/>
    <w:rsid w:val="59F02E0F"/>
    <w:rsid w:val="5A451B2A"/>
    <w:rsid w:val="5D2A2C8E"/>
    <w:rsid w:val="67416175"/>
    <w:rsid w:val="6ACE332C"/>
    <w:rsid w:val="6E4D5003"/>
    <w:rsid w:val="70AA2D24"/>
    <w:rsid w:val="71581782"/>
    <w:rsid w:val="719A6C86"/>
    <w:rsid w:val="72A05B30"/>
    <w:rsid w:val="79D455DF"/>
    <w:rsid w:val="7A5B174F"/>
    <w:rsid w:val="7B7256B0"/>
    <w:rsid w:val="7FFF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keepNext/>
      <w:keepLines/>
      <w:spacing w:beforeLines="50" w:afterLines="50" w:line="400" w:lineRule="exact"/>
      <w:ind w:firstLine="562" w:firstLineChars="200"/>
      <w:outlineLvl w:val="0"/>
    </w:pPr>
    <w:rPr>
      <w:rFonts w:eastAsia="黑体"/>
      <w:b/>
      <w:kern w:val="44"/>
      <w:sz w:val="32"/>
    </w:rPr>
  </w:style>
  <w:style w:type="paragraph" w:styleId="3">
    <w:name w:val="heading 2"/>
    <w:basedOn w:val="1"/>
    <w:next w:val="1"/>
    <w:link w:val="23"/>
    <w:unhideWhenUsed/>
    <w:qFormat/>
    <w:uiPriority w:val="9"/>
    <w:pPr>
      <w:keepNext/>
      <w:keepLines/>
      <w:spacing w:line="660" w:lineRule="exact"/>
      <w:ind w:firstLine="562" w:firstLineChars="200"/>
      <w:outlineLvl w:val="1"/>
    </w:pPr>
    <w:rPr>
      <w:rFonts w:ascii="Arial" w:hAnsi="Arial" w:eastAsia="黑体"/>
      <w:b/>
      <w:sz w:val="30"/>
    </w:rPr>
  </w:style>
  <w:style w:type="paragraph" w:styleId="4">
    <w:name w:val="heading 3"/>
    <w:basedOn w:val="1"/>
    <w:next w:val="1"/>
    <w:link w:val="22"/>
    <w:unhideWhenUsed/>
    <w:qFormat/>
    <w:uiPriority w:val="9"/>
    <w:pPr>
      <w:keepNext/>
      <w:keepLines/>
      <w:spacing w:line="360" w:lineRule="auto"/>
      <w:outlineLvl w:val="2"/>
    </w:pPr>
    <w:rPr>
      <w:rFonts w:eastAsia="华文仿宋"/>
      <w:sz w:val="3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1"/>
    <w:pPr>
      <w:spacing w:before="48"/>
      <w:ind w:left="120"/>
      <w:jc w:val="left"/>
    </w:pPr>
    <w:rPr>
      <w:rFonts w:ascii="仿宋_GB2312" w:hAnsi="仿宋_GB2312" w:eastAsia="仿宋_GB2312"/>
      <w:kern w:val="0"/>
      <w:sz w:val="30"/>
      <w:szCs w:val="30"/>
      <w:lang w:eastAsia="en-US"/>
    </w:rPr>
  </w:style>
  <w:style w:type="paragraph" w:styleId="6">
    <w:name w:val="Balloon Text"/>
    <w:basedOn w:val="1"/>
    <w:link w:val="25"/>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9736"/>
      </w:tabs>
      <w:spacing w:line="360" w:lineRule="auto"/>
    </w:pPr>
    <w:rPr>
      <w:sz w:val="24"/>
      <w:szCs w:val="24"/>
    </w:rPr>
  </w:style>
  <w:style w:type="paragraph" w:styleId="10">
    <w:name w:val="toc 2"/>
    <w:basedOn w:val="1"/>
    <w:next w:val="1"/>
    <w:unhideWhenUsed/>
    <w:qFormat/>
    <w:uiPriority w:val="39"/>
    <w:pPr>
      <w:ind w:left="420" w:leftChars="200"/>
    </w:pPr>
  </w:style>
  <w:style w:type="paragraph" w:styleId="11">
    <w:name w:val="Normal (Web)"/>
    <w:basedOn w:val="1"/>
    <w:uiPriority w:val="0"/>
    <w:pPr>
      <w:spacing w:before="100" w:beforeAutospacing="1" w:after="100" w:afterAutospacing="1"/>
      <w:jc w:val="left"/>
    </w:pPr>
    <w:rPr>
      <w:rFonts w:cs="Times New Roman"/>
      <w:kern w:val="0"/>
      <w:sz w:val="24"/>
      <w:szCs w:val="24"/>
    </w:rPr>
  </w:style>
  <w:style w:type="character" w:styleId="14">
    <w:name w:val="Hyperlink"/>
    <w:basedOn w:val="13"/>
    <w:unhideWhenUsed/>
    <w:uiPriority w:val="99"/>
    <w:rPr>
      <w:color w:val="0563C1"/>
      <w:u w:val="single"/>
    </w:rPr>
  </w:style>
  <w:style w:type="paragraph" w:customStyle="1" w:styleId="15">
    <w:name w:val="列出段落1"/>
    <w:basedOn w:val="1"/>
    <w:qFormat/>
    <w:uiPriority w:val="34"/>
    <w:pPr>
      <w:ind w:firstLine="42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uiPriority w:val="0"/>
    <w:pPr>
      <w:ind w:left="200" w:leftChars="200"/>
    </w:pPr>
    <w:rPr>
      <w:rFonts w:ascii="Times New Roman" w:hAnsi="Times New Roman" w:eastAsia="宋体" w:cs="Times New Roman"/>
      <w:lang w:val="en-US" w:eastAsia="zh-CN" w:bidi="ar-SA"/>
    </w:rPr>
  </w:style>
  <w:style w:type="paragraph" w:customStyle="1" w:styleId="18">
    <w:name w:val="TOC 标题1"/>
    <w:basedOn w:val="2"/>
    <w:next w:val="1"/>
    <w:unhideWhenUsed/>
    <w:qFormat/>
    <w:uiPriority w:val="39"/>
    <w:pPr>
      <w:widowControl/>
      <w:spacing w:beforeLines="0" w:afterLines="0" w:line="276" w:lineRule="auto"/>
      <w:ind w:firstLine="0" w:firstLineChars="0"/>
      <w:jc w:val="left"/>
      <w:outlineLvl w:val="9"/>
    </w:pPr>
    <w:rPr>
      <w:rFonts w:ascii="Calibri Light" w:hAnsi="Calibri Light" w:eastAsia="宋体"/>
      <w:bCs/>
      <w:color w:val="2D73B3"/>
      <w:kern w:val="0"/>
      <w:sz w:val="28"/>
      <w:szCs w:val="28"/>
    </w:rPr>
  </w:style>
  <w:style w:type="character" w:customStyle="1" w:styleId="19">
    <w:name w:val="页眉 Char"/>
    <w:basedOn w:val="13"/>
    <w:link w:val="8"/>
    <w:uiPriority w:val="99"/>
    <w:rPr>
      <w:sz w:val="18"/>
      <w:szCs w:val="18"/>
    </w:rPr>
  </w:style>
  <w:style w:type="character" w:customStyle="1" w:styleId="20">
    <w:name w:val="页脚 Char"/>
    <w:basedOn w:val="13"/>
    <w:link w:val="7"/>
    <w:qFormat/>
    <w:uiPriority w:val="99"/>
    <w:rPr>
      <w:sz w:val="18"/>
      <w:szCs w:val="18"/>
    </w:rPr>
  </w:style>
  <w:style w:type="character" w:customStyle="1" w:styleId="21">
    <w:name w:val="正文文本 Char"/>
    <w:basedOn w:val="13"/>
    <w:link w:val="5"/>
    <w:uiPriority w:val="1"/>
    <w:rPr>
      <w:rFonts w:ascii="仿宋_GB2312" w:hAnsi="仿宋_GB2312" w:eastAsia="仿宋_GB2312"/>
      <w:kern w:val="0"/>
      <w:sz w:val="30"/>
      <w:szCs w:val="30"/>
      <w:lang w:eastAsia="en-US"/>
    </w:rPr>
  </w:style>
  <w:style w:type="character" w:customStyle="1" w:styleId="22">
    <w:name w:val="标题 3 Char"/>
    <w:link w:val="4"/>
    <w:qFormat/>
    <w:uiPriority w:val="0"/>
    <w:rPr>
      <w:rFonts w:ascii="Calibri" w:hAnsi="Calibri" w:eastAsia="华文仿宋"/>
      <w:sz w:val="30"/>
    </w:rPr>
  </w:style>
  <w:style w:type="character" w:customStyle="1" w:styleId="23">
    <w:name w:val="标题 2 Char"/>
    <w:link w:val="3"/>
    <w:qFormat/>
    <w:uiPriority w:val="9"/>
    <w:rPr>
      <w:rFonts w:ascii="Arial" w:hAnsi="Arial" w:eastAsia="黑体" w:cs="黑体"/>
      <w:b/>
      <w:kern w:val="2"/>
      <w:sz w:val="30"/>
      <w:szCs w:val="22"/>
    </w:rPr>
  </w:style>
  <w:style w:type="character" w:customStyle="1" w:styleId="24">
    <w:name w:val="标题 1 Char"/>
    <w:link w:val="2"/>
    <w:qFormat/>
    <w:uiPriority w:val="0"/>
    <w:rPr>
      <w:rFonts w:ascii="Calibri" w:hAnsi="Calibri" w:eastAsia="黑体"/>
      <w:b/>
      <w:kern w:val="44"/>
      <w:sz w:val="32"/>
    </w:rPr>
  </w:style>
  <w:style w:type="character" w:customStyle="1" w:styleId="25">
    <w:name w:val="批注框文本 Char"/>
    <w:basedOn w:val="13"/>
    <w:link w:val="6"/>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B307C-54F9-47F0-B62C-8ED11D2CC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1747</Words>
  <Characters>9964</Characters>
  <Lines>83</Lines>
  <Paragraphs>23</Paragraphs>
  <TotalTime>399</TotalTime>
  <ScaleCrop>false</ScaleCrop>
  <LinksUpToDate>false</LinksUpToDate>
  <CharactersWithSpaces>11688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2019-10-28T02:00:00Z</dcterms:created>
  <dc:creator>asus</dc:creator>
  <cp:lastModifiedBy>白银市白银区住房保障事务中心</cp:lastModifiedBy>
  <dcterms:modified xsi:type="dcterms:W3CDTF">2021-10-20T07:45:04Z</dcterms:modified>
  <dc:title>2019年度白银区住房保障事务中心     整体收支绩效自评报告</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18E0E08BC1B14035B06A9C9E326304E1</vt:lpwstr>
  </property>
</Properties>
</file>