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白银区住房和城乡建设局</w:t>
      </w:r>
    </w:p>
    <w:p>
      <w:pPr>
        <w:spacing w:line="58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202</w:t>
      </w:r>
      <w:r>
        <w:rPr>
          <w:rFonts w:hint="eastAsia" w:ascii="方正小标宋简体" w:hAnsi="方正小标宋简体" w:eastAsia="方正小标宋简体" w:cs="方正小标宋简体"/>
          <w:sz w:val="44"/>
          <w:szCs w:val="44"/>
          <w:shd w:val="clear" w:color="auto" w:fill="FFFFFF"/>
          <w:lang w:val="en-US" w:eastAsia="zh-CN"/>
        </w:rPr>
        <w:t>1</w:t>
      </w:r>
      <w:r>
        <w:rPr>
          <w:rFonts w:hint="eastAsia" w:ascii="方正小标宋简体" w:hAnsi="方正小标宋简体" w:eastAsia="方正小标宋简体" w:cs="方正小标宋简体"/>
          <w:sz w:val="44"/>
          <w:szCs w:val="44"/>
          <w:shd w:val="clear" w:color="auto" w:fill="FFFFFF"/>
        </w:rPr>
        <w:t>年度政府信息公开工作年度报告</w:t>
      </w:r>
    </w:p>
    <w:p>
      <w:pPr>
        <w:spacing w:line="580" w:lineRule="exact"/>
        <w:rPr>
          <w:rFonts w:ascii="仿宋" w:hAnsi="仿宋" w:eastAsia="仿宋" w:cs="仿宋"/>
          <w:sz w:val="32"/>
          <w:szCs w:val="32"/>
          <w:shd w:val="clear" w:color="auto" w:fill="FFFFFF"/>
        </w:rPr>
      </w:pPr>
    </w:p>
    <w:p>
      <w:pPr>
        <w:pStyle w:val="2"/>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政府信息公开</w:t>
      </w:r>
      <w:r>
        <w:rPr>
          <w:rFonts w:hint="eastAsia" w:ascii="黑体" w:hAnsi="黑体" w:eastAsia="黑体" w:cs="黑体"/>
          <w:kern w:val="0"/>
          <w:sz w:val="32"/>
          <w:szCs w:val="32"/>
        </w:rPr>
        <w:t>总体情况</w:t>
      </w:r>
    </w:p>
    <w:p>
      <w:pPr>
        <w:pStyle w:val="2"/>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年，区住建局在区委区政府的正确领导下，坚持以习近平新时代中国特色社会主义思想为指导， 按照《中华人民共和国政府信息公开条例》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甘肃省人民政府信息公开办公室关于做好2021年政府信息公开工作年度报告编发工作的通知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甘政公开办函〔2021〕23号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和白银区政府关于印发《白银区政务公开工作实施方案的通知》等</w:t>
      </w:r>
      <w:r>
        <w:rPr>
          <w:rFonts w:hint="eastAsia" w:ascii="仿宋_GB2312" w:hAnsi="仿宋_GB2312" w:eastAsia="仿宋_GB2312" w:cs="仿宋_GB2312"/>
          <w:kern w:val="0"/>
          <w:sz w:val="32"/>
          <w:szCs w:val="32"/>
          <w:lang w:val="en-US" w:eastAsia="zh-CN"/>
        </w:rPr>
        <w:t>文件</w:t>
      </w:r>
      <w:r>
        <w:rPr>
          <w:rFonts w:hint="eastAsia" w:ascii="仿宋_GB2312" w:hAnsi="仿宋_GB2312" w:eastAsia="仿宋_GB2312" w:cs="仿宋_GB2312"/>
          <w:kern w:val="0"/>
          <w:sz w:val="32"/>
          <w:szCs w:val="32"/>
        </w:rPr>
        <w:t>要求，结合我局工作实际，扎实推进政府信息公开工作</w:t>
      </w:r>
      <w:r>
        <w:rPr>
          <w:rFonts w:hint="eastAsia" w:ascii="仿宋_GB2312" w:hAnsi="仿宋_GB2312" w:eastAsia="仿宋_GB2312" w:cs="仿宋_GB2312"/>
          <w:kern w:val="0"/>
          <w:sz w:val="32"/>
          <w:szCs w:val="32"/>
          <w:lang w:eastAsia="zh-CN"/>
        </w:rPr>
        <w:t>。</w:t>
      </w:r>
    </w:p>
    <w:p>
      <w:pPr>
        <w:pStyle w:val="2"/>
        <w:ind w:firstLine="643" w:firstLineChars="200"/>
        <w:rPr>
          <w:rFonts w:hint="eastAsia" w:ascii="仿宋_GB2312" w:hAnsi="仿宋_GB2312" w:eastAsia="仿宋_GB2312" w:cs="仿宋_GB2312"/>
          <w:kern w:val="0"/>
          <w:sz w:val="32"/>
          <w:szCs w:val="32"/>
          <w:lang w:val="en-US" w:eastAsia="zh-CN"/>
        </w:rPr>
      </w:pPr>
      <w:r>
        <w:rPr>
          <w:rFonts w:hint="eastAsia" w:ascii="楷体" w:hAnsi="楷体" w:eastAsia="楷体" w:cs="楷体"/>
          <w:b/>
          <w:bCs/>
          <w:kern w:val="0"/>
          <w:sz w:val="32"/>
          <w:szCs w:val="32"/>
        </w:rPr>
        <w:t>（一）强化组织领导。</w:t>
      </w:r>
      <w:r>
        <w:rPr>
          <w:rFonts w:hint="eastAsia" w:ascii="仿宋_GB2312" w:hAnsi="仿宋_GB2312" w:eastAsia="仿宋_GB2312" w:cs="仿宋_GB2312"/>
          <w:kern w:val="0"/>
          <w:sz w:val="32"/>
          <w:szCs w:val="32"/>
          <w:lang w:val="en-US" w:eastAsia="zh-CN"/>
        </w:rPr>
        <w:t>为更好地贯彻落实政府信息公开工作，我局成立了政府信息公开领导小组。政府信息公开领导小组组长由局主要领导担任，各部门、股室负责人为信息公开工作领导小组成员，领导小组下设办公室负责我局政府信息公开日常工作，并指定专人负责收集、上传发布政府信息工作，从而确保了此项工作的顺利开展。</w:t>
      </w:r>
    </w:p>
    <w:p>
      <w:pPr>
        <w:pStyle w:val="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楷体" w:hAnsi="楷体" w:eastAsia="楷体" w:cs="楷体"/>
          <w:b/>
          <w:bCs/>
          <w:kern w:val="0"/>
          <w:sz w:val="32"/>
          <w:szCs w:val="32"/>
        </w:rPr>
        <w:t>（二）建立健全制度。</w:t>
      </w:r>
      <w:r>
        <w:rPr>
          <w:rFonts w:hint="eastAsia" w:ascii="仿宋_GB2312" w:hAnsi="仿宋_GB2312" w:eastAsia="仿宋_GB2312" w:cs="仿宋_GB2312"/>
          <w:kern w:val="0"/>
          <w:sz w:val="32"/>
          <w:szCs w:val="32"/>
        </w:rPr>
        <w:t>制定了《政务公开制度》和信息发布保密审查机制，严格按照“谁公开、谁审批、谁负责”的原则规范审查程序，落实审查责任，确保政府信息公开内容无涉及国家秘密和内部敏感事项。</w:t>
      </w:r>
    </w:p>
    <w:p>
      <w:pPr>
        <w:pStyle w:val="2"/>
        <w:ind w:firstLine="643" w:firstLineChars="200"/>
        <w:rPr>
          <w:rFonts w:hint="eastAsia" w:ascii="仿宋_GB2312" w:hAnsi="仿宋_GB2312" w:eastAsia="仿宋_GB2312" w:cs="仿宋_GB2312"/>
          <w:kern w:val="0"/>
          <w:sz w:val="32"/>
          <w:szCs w:val="32"/>
        </w:rPr>
      </w:pPr>
      <w:r>
        <w:rPr>
          <w:rFonts w:hint="eastAsia" w:ascii="楷体" w:hAnsi="楷体" w:eastAsia="楷体" w:cs="楷体"/>
          <w:b/>
          <w:bCs/>
          <w:kern w:val="0"/>
          <w:sz w:val="32"/>
          <w:szCs w:val="32"/>
        </w:rPr>
        <w:t>（三）抓好条例宣传。</w:t>
      </w:r>
      <w:r>
        <w:rPr>
          <w:rFonts w:hint="eastAsia" w:ascii="仿宋_GB2312" w:hAnsi="仿宋_GB2312" w:eastAsia="仿宋_GB2312" w:cs="仿宋_GB2312"/>
          <w:kern w:val="0"/>
          <w:sz w:val="32"/>
          <w:szCs w:val="32"/>
        </w:rPr>
        <w:t>通过局党组会议传达学习了《中华人民共和国政府信息公开条例》，并利用宣传栏、微信等载体，强化《条例》 宣传的力度、广度与深度，积极引导社会公众正确行使知情权。</w:t>
      </w:r>
    </w:p>
    <w:p>
      <w:pPr>
        <w:pStyle w:val="2"/>
        <w:ind w:firstLine="643" w:firstLineChars="200"/>
        <w:rPr>
          <w:rFonts w:hint="eastAsia" w:ascii="仿宋_GB2312" w:hAnsi="仿宋_GB2312" w:eastAsia="仿宋_GB2312" w:cs="仿宋_GB2312"/>
          <w:kern w:val="0"/>
          <w:sz w:val="32"/>
          <w:szCs w:val="32"/>
        </w:rPr>
      </w:pPr>
      <w:r>
        <w:rPr>
          <w:rFonts w:hint="eastAsia" w:ascii="楷体" w:hAnsi="楷体" w:eastAsia="楷体" w:cs="楷体"/>
          <w:b/>
          <w:bCs/>
          <w:kern w:val="0"/>
          <w:sz w:val="32"/>
          <w:szCs w:val="32"/>
        </w:rPr>
        <w:t>（四）加强任务落实</w:t>
      </w:r>
      <w:r>
        <w:rPr>
          <w:rFonts w:hint="eastAsia" w:ascii="楷体" w:hAnsi="楷体" w:eastAsia="楷体" w:cs="楷体"/>
          <w:b/>
          <w:bCs/>
          <w:kern w:val="0"/>
          <w:sz w:val="32"/>
          <w:szCs w:val="32"/>
          <w:lang w:eastAsia="zh-CN"/>
        </w:rPr>
        <w:t>。</w:t>
      </w:r>
      <w:r>
        <w:rPr>
          <w:rFonts w:hint="eastAsia" w:ascii="仿宋_GB2312" w:hAnsi="仿宋_GB2312" w:eastAsia="仿宋_GB2312" w:cs="仿宋_GB2312"/>
          <w:kern w:val="0"/>
          <w:sz w:val="32"/>
          <w:szCs w:val="32"/>
        </w:rPr>
        <w:t> 2021年1月1日至12月31日我局在区政府门户网站政府信息公开统一平台上累计主动公开政府信息42条，其中机构职能0条（其中：主要职责0条、领导分工0条），政策法规5条，规划计划4条，规范性文件5条，政策解读6条，重点领域信息公开20条（其中财政预决算及“三公经费”4条、安全生产4条、保障性住房4条， “双随机”抽查信息4条、棚户区改造4条），其他信息2条（其中： 领导介绍1条，白银区住建局信息公开指南2021版1条）。已公开的政府信息中未涉及国家秘密、商业秘密和个人隐私，也没有经权利人同意公开或者行政机关认为不公开可能对公共利益造成重大影响的涉及商业秘密、个人隐私的政府信息。</w:t>
      </w:r>
    </w:p>
    <w:p>
      <w:pPr>
        <w:pStyle w:val="2"/>
        <w:ind w:firstLine="640" w:firstLineChars="200"/>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主动公开政府信息情况</w:t>
      </w:r>
    </w:p>
    <w:tbl>
      <w:tblPr>
        <w:tblStyle w:val="6"/>
        <w:tblW w:w="5042" w:type="pct"/>
        <w:jc w:val="center"/>
        <w:tblLayout w:type="autofit"/>
        <w:tblCellMar>
          <w:top w:w="15" w:type="dxa"/>
          <w:left w:w="15" w:type="dxa"/>
          <w:bottom w:w="0" w:type="dxa"/>
          <w:right w:w="0" w:type="dxa"/>
        </w:tblCellMar>
      </w:tblPr>
      <w:tblGrid>
        <w:gridCol w:w="2767"/>
        <w:gridCol w:w="3200"/>
        <w:gridCol w:w="866"/>
        <w:gridCol w:w="1543"/>
      </w:tblGrid>
      <w:tr>
        <w:tblPrEx>
          <w:tblCellMar>
            <w:top w:w="15" w:type="dxa"/>
            <w:left w:w="15" w:type="dxa"/>
            <w:bottom w:w="0" w:type="dxa"/>
            <w:right w:w="0" w:type="dxa"/>
          </w:tblCellMar>
        </w:tblPrEx>
        <w:trPr>
          <w:trHeight w:val="745"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第二十条第（一）项</w:t>
            </w:r>
          </w:p>
        </w:tc>
      </w:tr>
      <w:tr>
        <w:tblPrEx>
          <w:tblCellMar>
            <w:top w:w="15" w:type="dxa"/>
            <w:left w:w="15" w:type="dxa"/>
            <w:bottom w:w="0" w:type="dxa"/>
            <w:right w:w="0" w:type="dxa"/>
          </w:tblCellMar>
        </w:tblPrEx>
        <w:trPr>
          <w:trHeight w:val="711"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eastAsia="宋体" w:cs="宋体"/>
                <w:i w:val="0"/>
                <w:iCs w:val="0"/>
                <w:caps w:val="0"/>
                <w:color w:val="000000"/>
                <w:spacing w:val="0"/>
                <w:sz w:val="20"/>
                <w:szCs w:val="20"/>
                <w:shd w:val="clear" w:fill="FFFFFF"/>
              </w:rPr>
              <w:t>本年</w:t>
            </w:r>
            <w:r>
              <w:rPr>
                <w:rFonts w:hint="eastAsia" w:ascii="宋体" w:hAnsi="宋体" w:eastAsia="宋体" w:cs="宋体"/>
                <w:i w:val="0"/>
                <w:iCs w:val="0"/>
                <w:caps w:val="0"/>
                <w:color w:val="333333"/>
                <w:spacing w:val="0"/>
                <w:sz w:val="20"/>
                <w:szCs w:val="20"/>
                <w:shd w:val="clear" w:fill="FFFFFF"/>
              </w:rPr>
              <w:t>制发件数</w:t>
            </w:r>
          </w:p>
        </w:tc>
        <w:tc>
          <w:tcPr>
            <w:tcW w:w="517"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eastAsia="宋体" w:cs="宋体"/>
                <w:i w:val="0"/>
                <w:iCs w:val="0"/>
                <w:caps w:val="0"/>
                <w:color w:val="000000"/>
                <w:spacing w:val="0"/>
                <w:sz w:val="20"/>
                <w:szCs w:val="20"/>
                <w:shd w:val="clear" w:fill="FFFFFF"/>
              </w:rPr>
              <w:t>本年废止件数</w:t>
            </w: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eastAsia="宋体" w:cs="宋体"/>
                <w:i w:val="0"/>
                <w:iCs w:val="0"/>
                <w:caps w:val="0"/>
                <w:color w:val="000000"/>
                <w:spacing w:val="0"/>
                <w:sz w:val="20"/>
                <w:szCs w:val="20"/>
                <w:shd w:val="clear" w:fill="FFFFFF"/>
              </w:rPr>
              <w:t>现行有效件</w:t>
            </w:r>
            <w:r>
              <w:rPr>
                <w:rFonts w:hint="eastAsia" w:ascii="宋体" w:hAnsi="宋体" w:eastAsia="宋体" w:cs="宋体"/>
                <w:i w:val="0"/>
                <w:iCs w:val="0"/>
                <w:caps w:val="0"/>
                <w:color w:val="333333"/>
                <w:spacing w:val="0"/>
                <w:sz w:val="20"/>
                <w:szCs w:val="20"/>
                <w:shd w:val="clear" w:fill="FFFFFF"/>
              </w:rPr>
              <w:t>数</w:t>
            </w:r>
          </w:p>
        </w:tc>
      </w:tr>
      <w:tr>
        <w:tblPrEx>
          <w:tblCellMar>
            <w:top w:w="15" w:type="dxa"/>
            <w:left w:w="15" w:type="dxa"/>
            <w:bottom w:w="0" w:type="dxa"/>
            <w:right w:w="0" w:type="dxa"/>
          </w:tblCellMar>
        </w:tblPrEx>
        <w:trPr>
          <w:trHeight w:val="534"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规  章</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517"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CellMar>
            <w:top w:w="15" w:type="dxa"/>
            <w:left w:w="15" w:type="dxa"/>
            <w:bottom w:w="0" w:type="dxa"/>
            <w:right w:w="0" w:type="dxa"/>
          </w:tblCellMar>
        </w:tblPrEx>
        <w:trPr>
          <w:trHeight w:val="593"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lang w:val="en-US" w:eastAsia="zh-CN"/>
              </w:rPr>
              <w:t>行政</w:t>
            </w:r>
            <w:r>
              <w:rPr>
                <w:rFonts w:hint="eastAsia" w:ascii="宋体" w:hAnsi="宋体" w:cs="宋体"/>
                <w:kern w:val="0"/>
                <w:sz w:val="22"/>
                <w:szCs w:val="22"/>
              </w:rPr>
              <w:t>规范性文件</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0</w:t>
            </w:r>
          </w:p>
        </w:tc>
        <w:tc>
          <w:tcPr>
            <w:tcW w:w="517" w:type="pct"/>
            <w:tcBorders>
              <w:bottom w:val="single" w:color="auto" w:sz="8" w:space="0"/>
            </w:tcBorders>
            <w:tcMar>
              <w:top w:w="0" w:type="dxa"/>
              <w:left w:w="0" w:type="dxa"/>
              <w:bottom w:w="0" w:type="dxa"/>
              <w:right w:w="0" w:type="dxa"/>
            </w:tcMar>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0</w:t>
            </w: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0</w:t>
            </w:r>
          </w:p>
        </w:tc>
      </w:tr>
      <w:tr>
        <w:tblPrEx>
          <w:tblCellMar>
            <w:top w:w="15" w:type="dxa"/>
            <w:left w:w="15" w:type="dxa"/>
            <w:bottom w:w="0" w:type="dxa"/>
            <w:right w:w="0" w:type="dxa"/>
          </w:tblCellMar>
        </w:tblPrEx>
        <w:trPr>
          <w:trHeight w:val="611"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第二十条第（五）项</w:t>
            </w:r>
          </w:p>
        </w:tc>
      </w:tr>
      <w:tr>
        <w:tblPrEx>
          <w:tblCellMar>
            <w:top w:w="15" w:type="dxa"/>
            <w:left w:w="15" w:type="dxa"/>
            <w:bottom w:w="0" w:type="dxa"/>
            <w:right w:w="0" w:type="dxa"/>
          </w:tblCellMar>
        </w:tblPrEx>
        <w:trPr>
          <w:trHeight w:val="366"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i w:val="0"/>
                <w:iCs w:val="0"/>
                <w:caps w:val="0"/>
                <w:color w:val="000000"/>
                <w:spacing w:val="0"/>
                <w:sz w:val="20"/>
                <w:szCs w:val="20"/>
                <w:shd w:val="clear" w:fill="FFFFFF"/>
                <w:lang w:val="en-US" w:eastAsia="zh-CN"/>
              </w:rPr>
              <w:t xml:space="preserve">                </w:t>
            </w:r>
            <w:r>
              <w:rPr>
                <w:rFonts w:hint="eastAsia" w:ascii="宋体" w:hAnsi="宋体" w:eastAsia="宋体" w:cs="宋体"/>
                <w:i w:val="0"/>
                <w:iCs w:val="0"/>
                <w:caps w:val="0"/>
                <w:color w:val="000000"/>
                <w:spacing w:val="0"/>
                <w:sz w:val="20"/>
                <w:szCs w:val="20"/>
                <w:shd w:val="clear" w:fill="FFFFFF"/>
              </w:rPr>
              <w:t>本年处理决定数量</w:t>
            </w:r>
          </w:p>
        </w:tc>
        <w:tc>
          <w:tcPr>
            <w:tcW w:w="517"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r>
      <w:tr>
        <w:tblPrEx>
          <w:tblCellMar>
            <w:top w:w="15" w:type="dxa"/>
            <w:left w:w="15" w:type="dxa"/>
            <w:bottom w:w="0" w:type="dxa"/>
            <w:right w:w="0" w:type="dxa"/>
          </w:tblCellMar>
        </w:tblPrEx>
        <w:trPr>
          <w:trHeight w:val="564"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行政许可</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294</w:t>
            </w:r>
          </w:p>
        </w:tc>
        <w:tc>
          <w:tcPr>
            <w:tcW w:w="517" w:type="pct"/>
            <w:tcBorders>
              <w:bottom w:val="single" w:color="auto" w:sz="8" w:space="0"/>
            </w:tcBorders>
            <w:noWrap/>
            <w:tcMar>
              <w:top w:w="0" w:type="dxa"/>
              <w:left w:w="0" w:type="dxa"/>
              <w:bottom w:w="0" w:type="dxa"/>
              <w:right w:w="0" w:type="dxa"/>
            </w:tcMar>
            <w:vAlign w:val="center"/>
          </w:tcPr>
          <w:p>
            <w:pPr>
              <w:widowControl/>
              <w:jc w:val="center"/>
              <w:rPr>
                <w:rFonts w:hint="default" w:ascii="宋体" w:hAnsi="宋体" w:eastAsia="宋体" w:cs="宋体"/>
                <w:kern w:val="0"/>
                <w:szCs w:val="21"/>
                <w:lang w:val="en-US" w:eastAsia="zh-CN"/>
              </w:rPr>
            </w:pPr>
          </w:p>
        </w:tc>
        <w:tc>
          <w:tcPr>
            <w:tcW w:w="919" w:type="pct"/>
            <w:tcBorders>
              <w:bottom w:val="single" w:color="auto" w:sz="8" w:space="0"/>
            </w:tcBorders>
            <w:noWrap/>
            <w:tcMar>
              <w:top w:w="0" w:type="dxa"/>
              <w:left w:w="0" w:type="dxa"/>
              <w:bottom w:w="0" w:type="dxa"/>
              <w:right w:w="0" w:type="dxa"/>
            </w:tcMar>
            <w:vAlign w:val="center"/>
          </w:tcPr>
          <w:p>
            <w:pPr>
              <w:widowControl/>
              <w:jc w:val="both"/>
              <w:rPr>
                <w:rFonts w:hint="default" w:ascii="宋体" w:hAnsi="宋体" w:eastAsia="宋体" w:cs="宋体"/>
                <w:kern w:val="0"/>
                <w:szCs w:val="21"/>
                <w:lang w:val="en-US" w:eastAsia="zh-CN"/>
              </w:rPr>
            </w:pPr>
          </w:p>
        </w:tc>
      </w:tr>
      <w:tr>
        <w:tblPrEx>
          <w:tblCellMar>
            <w:top w:w="15" w:type="dxa"/>
            <w:left w:w="15" w:type="dxa"/>
            <w:bottom w:w="0" w:type="dxa"/>
            <w:right w:w="0" w:type="dxa"/>
          </w:tblCellMar>
        </w:tblPrEx>
        <w:trPr>
          <w:trHeight w:val="564"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其他对外管理服务事项</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lang w:val="en-US" w:eastAsia="zh-CN"/>
              </w:rPr>
              <w:t>1009</w:t>
            </w:r>
          </w:p>
        </w:tc>
        <w:tc>
          <w:tcPr>
            <w:tcW w:w="517"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hint="default" w:ascii="宋体" w:hAnsi="宋体" w:eastAsia="宋体" w:cs="宋体"/>
                <w:kern w:val="0"/>
                <w:szCs w:val="21"/>
                <w:lang w:val="en-US" w:eastAsia="zh-CN"/>
              </w:rPr>
            </w:pPr>
          </w:p>
        </w:tc>
      </w:tr>
      <w:tr>
        <w:tblPrEx>
          <w:tblCellMar>
            <w:top w:w="15" w:type="dxa"/>
            <w:left w:w="15" w:type="dxa"/>
            <w:bottom w:w="0" w:type="dxa"/>
            <w:right w:w="0" w:type="dxa"/>
          </w:tblCellMar>
        </w:tblPrEx>
        <w:trPr>
          <w:trHeight w:val="627"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第二十条第（六）项</w:t>
            </w:r>
          </w:p>
        </w:tc>
      </w:tr>
      <w:tr>
        <w:tblPrEx>
          <w:tblCellMar>
            <w:top w:w="15" w:type="dxa"/>
            <w:left w:w="15" w:type="dxa"/>
            <w:bottom w:w="0" w:type="dxa"/>
            <w:right w:w="0" w:type="dxa"/>
          </w:tblCellMar>
        </w:tblPrEx>
        <w:trPr>
          <w:trHeight w:val="594"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eastAsia="宋体" w:cs="宋体"/>
                <w:i w:val="0"/>
                <w:iCs w:val="0"/>
                <w:caps w:val="0"/>
                <w:color w:val="000000"/>
                <w:spacing w:val="0"/>
                <w:sz w:val="20"/>
                <w:szCs w:val="20"/>
                <w:shd w:val="clear" w:fill="FFFFFF"/>
              </w:rPr>
              <w:t>本年处理决定数量</w:t>
            </w:r>
          </w:p>
        </w:tc>
        <w:tc>
          <w:tcPr>
            <w:tcW w:w="517" w:type="pct"/>
            <w:tcBorders>
              <w:bottom w:val="single" w:color="auto" w:sz="8" w:space="0"/>
            </w:tcBorders>
            <w:tcMar>
              <w:top w:w="0" w:type="dxa"/>
              <w:left w:w="0" w:type="dxa"/>
              <w:bottom w:w="0" w:type="dxa"/>
              <w:right w:w="0" w:type="dxa"/>
            </w:tcMar>
            <w:vAlign w:val="center"/>
          </w:tcPr>
          <w:p>
            <w:pPr>
              <w:widowControl/>
              <w:jc w:val="center"/>
              <w:rPr>
                <w:rFonts w:ascii="宋体" w:hAnsi="宋体" w:cs="宋体"/>
                <w:kern w:val="0"/>
                <w:szCs w:val="21"/>
              </w:rPr>
            </w:pP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r>
      <w:tr>
        <w:tblPrEx>
          <w:tblCellMar>
            <w:top w:w="15" w:type="dxa"/>
            <w:left w:w="15" w:type="dxa"/>
            <w:bottom w:w="0" w:type="dxa"/>
            <w:right w:w="0" w:type="dxa"/>
          </w:tblCellMar>
        </w:tblPrEx>
        <w:trPr>
          <w:trHeight w:val="532"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shd w:val="clear" w:color="auto" w:fill="FFFFFF"/>
              <w:spacing w:line="580" w:lineRule="exact"/>
              <w:ind w:firstLine="880" w:firstLineChars="400"/>
              <w:jc w:val="both"/>
              <w:rPr>
                <w:rFonts w:ascii="宋体" w:hAnsi="宋体" w:cs="宋体"/>
                <w:kern w:val="0"/>
                <w:szCs w:val="21"/>
              </w:rPr>
            </w:pPr>
            <w:r>
              <w:rPr>
                <w:rFonts w:hint="eastAsia" w:ascii="宋体" w:hAnsi="宋体" w:cs="宋体"/>
                <w:kern w:val="0"/>
                <w:sz w:val="22"/>
                <w:szCs w:val="22"/>
              </w:rPr>
              <w:t>行政处罚</w:t>
            </w:r>
          </w:p>
        </w:tc>
        <w:tc>
          <w:tcPr>
            <w:tcW w:w="1910" w:type="pct"/>
            <w:tcBorders>
              <w:bottom w:val="single" w:color="auto" w:sz="8" w:space="0"/>
            </w:tcBorders>
            <w:noWrap/>
            <w:tcMar>
              <w:top w:w="0" w:type="dxa"/>
              <w:left w:w="0" w:type="dxa"/>
              <w:bottom w:w="0" w:type="dxa"/>
              <w:right w:w="0" w:type="dxa"/>
            </w:tcMar>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rPr>
              <w:t xml:space="preserve">        </w:t>
            </w:r>
            <w:r>
              <w:rPr>
                <w:rFonts w:hint="eastAsia" w:ascii="宋体" w:hAnsi="宋体" w:cs="宋体"/>
                <w:kern w:val="0"/>
                <w:szCs w:val="21"/>
                <w:lang w:val="en-US" w:eastAsia="zh-CN"/>
              </w:rPr>
              <w:t>18</w:t>
            </w:r>
          </w:p>
        </w:tc>
        <w:tc>
          <w:tcPr>
            <w:tcW w:w="517" w:type="pct"/>
            <w:tcBorders>
              <w:bottom w:val="single" w:color="auto" w:sz="8" w:space="0"/>
            </w:tcBorders>
            <w:noWrap/>
            <w:tcMar>
              <w:top w:w="0" w:type="dxa"/>
              <w:left w:w="0" w:type="dxa"/>
              <w:bottom w:w="0" w:type="dxa"/>
              <w:right w:w="0" w:type="dxa"/>
            </w:tcMar>
            <w:vAlign w:val="center"/>
          </w:tcPr>
          <w:p>
            <w:pPr>
              <w:widowControl/>
              <w:jc w:val="center"/>
              <w:rPr>
                <w:rFonts w:hint="eastAsia" w:ascii="宋体" w:hAnsi="宋体" w:eastAsia="宋体" w:cs="宋体"/>
                <w:kern w:val="0"/>
                <w:szCs w:val="21"/>
                <w:lang w:val="en-US" w:eastAsia="zh-CN"/>
              </w:rPr>
            </w:pP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hint="default" w:ascii="宋体" w:hAnsi="宋体" w:eastAsia="宋体" w:cs="宋体"/>
                <w:kern w:val="0"/>
                <w:szCs w:val="21"/>
                <w:lang w:val="en-US" w:eastAsia="zh-CN"/>
              </w:rPr>
            </w:pPr>
          </w:p>
        </w:tc>
      </w:tr>
      <w:tr>
        <w:tblPrEx>
          <w:tblCellMar>
            <w:top w:w="15" w:type="dxa"/>
            <w:left w:w="15" w:type="dxa"/>
            <w:bottom w:w="0" w:type="dxa"/>
            <w:right w:w="0" w:type="dxa"/>
          </w:tblCellMar>
        </w:tblPrEx>
        <w:trPr>
          <w:trHeight w:val="526"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行政强制</w:t>
            </w:r>
          </w:p>
        </w:tc>
        <w:tc>
          <w:tcPr>
            <w:tcW w:w="1910" w:type="pct"/>
            <w:tcBorders>
              <w:bottom w:val="single" w:color="auto" w:sz="8" w:space="0"/>
            </w:tcBorders>
            <w:noWrap/>
            <w:tcMar>
              <w:top w:w="0" w:type="dxa"/>
              <w:left w:w="0" w:type="dxa"/>
              <w:bottom w:w="0" w:type="dxa"/>
              <w:right w:w="0" w:type="dxa"/>
            </w:tcMar>
            <w:vAlign w:val="center"/>
          </w:tcPr>
          <w:p>
            <w:pPr>
              <w:widowControl/>
              <w:ind w:firstLine="840" w:firstLineChars="400"/>
              <w:rPr>
                <w:rFonts w:ascii="宋体" w:hAnsi="宋体" w:cs="宋体"/>
                <w:kern w:val="0"/>
                <w:szCs w:val="21"/>
              </w:rPr>
            </w:pPr>
            <w:r>
              <w:rPr>
                <w:rFonts w:hint="eastAsia" w:ascii="宋体" w:hAnsi="宋体" w:cs="宋体"/>
                <w:kern w:val="0"/>
                <w:szCs w:val="21"/>
              </w:rPr>
              <w:t>0</w:t>
            </w:r>
          </w:p>
        </w:tc>
        <w:tc>
          <w:tcPr>
            <w:tcW w:w="517"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c>
          <w:tcPr>
            <w:tcW w:w="919"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r>
      <w:tr>
        <w:tblPrEx>
          <w:tblCellMar>
            <w:top w:w="15" w:type="dxa"/>
            <w:left w:w="15" w:type="dxa"/>
            <w:bottom w:w="0" w:type="dxa"/>
            <w:right w:w="0" w:type="dxa"/>
          </w:tblCellMar>
        </w:tblPrEx>
        <w:trPr>
          <w:trHeight w:val="660" w:hRule="atLeast"/>
          <w:jc w:val="center"/>
        </w:trPr>
        <w:tc>
          <w:tcPr>
            <w:tcW w:w="5000" w:type="pct"/>
            <w:gridSpan w:val="4"/>
            <w:tcBorders>
              <w:bottom w:val="single" w:color="auto" w:sz="8" w:space="0"/>
            </w:tcBorders>
            <w:shd w:val="clear" w:color="auto" w:fill="C6D9F1"/>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第二十条第（八）项</w:t>
            </w:r>
          </w:p>
        </w:tc>
      </w:tr>
      <w:tr>
        <w:tblPrEx>
          <w:tblCellMar>
            <w:top w:w="15" w:type="dxa"/>
            <w:left w:w="15" w:type="dxa"/>
            <w:bottom w:w="0" w:type="dxa"/>
            <w:right w:w="0" w:type="dxa"/>
          </w:tblCellMar>
        </w:tblPrEx>
        <w:trPr>
          <w:trHeight w:val="644"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信息内容</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eastAsia="宋体" w:cs="宋体"/>
                <w:i w:val="0"/>
                <w:iCs w:val="0"/>
                <w:caps w:val="0"/>
                <w:color w:val="000000"/>
                <w:spacing w:val="0"/>
                <w:sz w:val="20"/>
                <w:szCs w:val="20"/>
                <w:shd w:val="clear" w:fill="FFFFFF"/>
              </w:rPr>
              <w:t>本年收费金额（单位：万元）</w:t>
            </w:r>
          </w:p>
        </w:tc>
        <w:tc>
          <w:tcPr>
            <w:tcW w:w="1437" w:type="pct"/>
            <w:gridSpan w:val="2"/>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r>
      <w:tr>
        <w:tblPrEx>
          <w:tblCellMar>
            <w:top w:w="15" w:type="dxa"/>
            <w:left w:w="15" w:type="dxa"/>
            <w:bottom w:w="0" w:type="dxa"/>
            <w:right w:w="0" w:type="dxa"/>
          </w:tblCellMar>
        </w:tblPrEx>
        <w:trPr>
          <w:trHeight w:val="477" w:hRule="atLeast"/>
          <w:jc w:val="center"/>
        </w:trPr>
        <w:tc>
          <w:tcPr>
            <w:tcW w:w="1652" w:type="pct"/>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 w:val="22"/>
                <w:szCs w:val="22"/>
              </w:rPr>
              <w:t>行政事业性收费</w:t>
            </w:r>
          </w:p>
        </w:tc>
        <w:tc>
          <w:tcPr>
            <w:tcW w:w="1910" w:type="pct"/>
            <w:tcBorders>
              <w:bottom w:val="single" w:color="auto" w:sz="8" w:space="0"/>
            </w:tcBorders>
            <w:noWrap/>
            <w:tcMar>
              <w:top w:w="0" w:type="dxa"/>
              <w:left w:w="0" w:type="dxa"/>
              <w:bottom w:w="0" w:type="dxa"/>
              <w:right w:w="0" w:type="dxa"/>
            </w:tcMar>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0</w:t>
            </w:r>
          </w:p>
        </w:tc>
        <w:tc>
          <w:tcPr>
            <w:tcW w:w="1437" w:type="pct"/>
            <w:gridSpan w:val="2"/>
            <w:tcBorders>
              <w:bottom w:val="single" w:color="auto" w:sz="8" w:space="0"/>
            </w:tcBorders>
            <w:noWrap/>
            <w:tcMar>
              <w:top w:w="0" w:type="dxa"/>
              <w:left w:w="0" w:type="dxa"/>
              <w:bottom w:w="0" w:type="dxa"/>
              <w:right w:w="0" w:type="dxa"/>
            </w:tcMar>
            <w:vAlign w:val="center"/>
          </w:tcPr>
          <w:p>
            <w:pPr>
              <w:widowControl/>
              <w:jc w:val="center"/>
              <w:rPr>
                <w:rFonts w:ascii="宋体" w:hAnsi="宋体" w:cs="宋体"/>
                <w:kern w:val="0"/>
                <w:szCs w:val="21"/>
              </w:rPr>
            </w:pPr>
          </w:p>
        </w:tc>
      </w:tr>
    </w:tbl>
    <w:p>
      <w:pPr>
        <w:pStyle w:val="2"/>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tbl>
      <w:tblPr>
        <w:tblStyle w:val="6"/>
        <w:tblW w:w="5035" w:type="pct"/>
        <w:jc w:val="center"/>
        <w:tblBorders>
          <w:top w:val="outset" w:color="auto" w:sz="6" w:space="0"/>
          <w:left w:val="outset" w:color="auto" w:sz="6" w:space="0"/>
          <w:bottom w:val="none" w:color="auto" w:sz="0" w:space="0"/>
          <w:right w:val="outset" w:color="auto" w:sz="6" w:space="0"/>
          <w:insideH w:val="none" w:color="auto" w:sz="0" w:space="0"/>
          <w:insideV w:val="none" w:color="auto" w:sz="0" w:space="0"/>
        </w:tblBorders>
        <w:tblLayout w:type="autofit"/>
        <w:tblCellMar>
          <w:top w:w="15" w:type="dxa"/>
          <w:left w:w="15" w:type="dxa"/>
          <w:bottom w:w="0" w:type="dxa"/>
          <w:right w:w="0" w:type="dxa"/>
        </w:tblCellMar>
      </w:tblPr>
      <w:tblGrid>
        <w:gridCol w:w="607"/>
        <w:gridCol w:w="623"/>
        <w:gridCol w:w="2108"/>
        <w:gridCol w:w="623"/>
        <w:gridCol w:w="808"/>
        <w:gridCol w:w="813"/>
        <w:gridCol w:w="813"/>
        <w:gridCol w:w="781"/>
        <w:gridCol w:w="520"/>
        <w:gridCol w:w="684"/>
      </w:tblGrid>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22" w:hRule="atLeast"/>
          <w:jc w:val="center"/>
        </w:trPr>
        <w:tc>
          <w:tcPr>
            <w:tcW w:w="1992" w:type="pct"/>
            <w:gridSpan w:val="3"/>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（本列数据的勾稽关系为：第一项加第二项之和，等于第三项加第四项之和）</w:t>
            </w:r>
          </w:p>
        </w:tc>
        <w:tc>
          <w:tcPr>
            <w:tcW w:w="3007" w:type="pct"/>
            <w:gridSpan w:val="7"/>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申请人情况</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394" w:hRule="atLeast"/>
          <w:jc w:val="center"/>
        </w:trPr>
        <w:tc>
          <w:tcPr>
            <w:tcW w:w="1992" w:type="pct"/>
            <w:gridSpan w:val="3"/>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自然人</w:t>
            </w:r>
          </w:p>
        </w:tc>
        <w:tc>
          <w:tcPr>
            <w:tcW w:w="2228"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法人或其他组织</w:t>
            </w:r>
          </w:p>
        </w:tc>
        <w:tc>
          <w:tcPr>
            <w:tcW w:w="405"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总计</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6" w:hRule="atLeast"/>
          <w:jc w:val="center"/>
        </w:trPr>
        <w:tc>
          <w:tcPr>
            <w:tcW w:w="1992" w:type="pct"/>
            <w:gridSpan w:val="3"/>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商业企业</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科研机构</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社会公益组织</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法律服务机构</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20"/>
                <w:szCs w:val="20"/>
              </w:rPr>
              <w:t>其他</w:t>
            </w:r>
          </w:p>
          <w:p>
            <w:pPr>
              <w:widowControl/>
              <w:jc w:val="center"/>
              <w:rPr>
                <w:rFonts w:ascii="宋体" w:hAnsi="宋体" w:cs="宋体"/>
                <w:kern w:val="0"/>
                <w:sz w:val="18"/>
                <w:szCs w:val="18"/>
              </w:rPr>
            </w:pPr>
          </w:p>
        </w:tc>
        <w:tc>
          <w:tcPr>
            <w:tcW w:w="405" w:type="pct"/>
            <w:vMerge w:val="continue"/>
            <w:tcBorders>
              <w:top w:val="outset" w:color="auto" w:sz="6" w:space="0"/>
              <w:left w:val="outset" w:color="auto" w:sz="6" w:space="0"/>
              <w:bottom w:val="single" w:color="auto" w:sz="8" w:space="0"/>
              <w:right w:val="outset" w:color="auto" w:sz="6" w:space="0"/>
            </w:tcBorders>
            <w:vAlign w:val="center"/>
          </w:tcPr>
          <w:p>
            <w:pPr>
              <w:widowControl/>
              <w:jc w:val="center"/>
              <w:rPr>
                <w:rFonts w:ascii="宋体" w:hAnsi="宋体" w:cs="宋体"/>
                <w:kern w:val="0"/>
                <w:sz w:val="18"/>
                <w:szCs w:val="18"/>
              </w:rPr>
            </w:pP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17" w:hRule="atLeast"/>
          <w:jc w:val="center"/>
        </w:trPr>
        <w:tc>
          <w:tcPr>
            <w:tcW w:w="1992" w:type="pct"/>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宋体" w:hAnsi="宋体" w:cs="宋体"/>
                <w:kern w:val="0"/>
                <w:sz w:val="20"/>
                <w:szCs w:val="20"/>
              </w:rPr>
              <w:t>一、本年新收政府信息公开申请数量</w:t>
            </w:r>
          </w:p>
        </w:tc>
        <w:tc>
          <w:tcPr>
            <w:tcW w:w="37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374" w:hRule="atLeast"/>
          <w:jc w:val="center"/>
        </w:trPr>
        <w:tc>
          <w:tcPr>
            <w:tcW w:w="1992" w:type="pct"/>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宋体" w:hAnsi="宋体" w:cs="宋体"/>
                <w:kern w:val="0"/>
                <w:sz w:val="20"/>
                <w:szCs w:val="20"/>
              </w:rPr>
              <w:t>二、上年结转政府信息公开申请数量</w:t>
            </w:r>
          </w:p>
        </w:tc>
        <w:tc>
          <w:tcPr>
            <w:tcW w:w="37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78" w:hRule="atLeast"/>
          <w:jc w:val="center"/>
        </w:trPr>
        <w:tc>
          <w:tcPr>
            <w:tcW w:w="36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20"/>
                <w:szCs w:val="20"/>
              </w:rPr>
            </w:pPr>
            <w:bookmarkStart w:id="0" w:name="_GoBack" w:colFirst="3" w:colLast="7"/>
            <w:r>
              <w:rPr>
                <w:rFonts w:hint="eastAsia" w:ascii="宋体" w:hAnsi="宋体" w:cs="宋体"/>
                <w:kern w:val="0"/>
                <w:sz w:val="20"/>
                <w:szCs w:val="20"/>
              </w:rPr>
              <w:t>三、</w:t>
            </w:r>
          </w:p>
          <w:p>
            <w:pPr>
              <w:widowControl/>
              <w:jc w:val="center"/>
              <w:rPr>
                <w:rFonts w:ascii="宋体" w:hAnsi="宋体" w:cs="宋体"/>
                <w:kern w:val="0"/>
                <w:sz w:val="18"/>
                <w:szCs w:val="18"/>
              </w:rPr>
            </w:pPr>
            <w:r>
              <w:rPr>
                <w:rFonts w:hint="eastAsia" w:ascii="宋体" w:hAnsi="宋体" w:cs="宋体"/>
                <w:kern w:val="0"/>
                <w:sz w:val="20"/>
                <w:szCs w:val="20"/>
              </w:rPr>
              <w:t>本年度办理结果</w:t>
            </w:r>
          </w:p>
          <w:p>
            <w:pPr>
              <w:widowControl/>
              <w:jc w:val="center"/>
              <w:rPr>
                <w:rFonts w:ascii="宋体" w:hAnsi="宋体" w:cs="宋体"/>
                <w:kern w:val="0"/>
                <w:sz w:val="18"/>
                <w:szCs w:val="18"/>
              </w:rPr>
            </w:pPr>
            <w:r>
              <w:rPr>
                <w:rFonts w:ascii="宋体" w:hAnsi="宋体" w:cs="宋体"/>
                <w:kern w:val="0"/>
                <w:sz w:val="18"/>
                <w:szCs w:val="18"/>
              </w:rPr>
              <w:t> </w:t>
            </w: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（一）予以公开</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（二）部分公开（区分处理的，只计这一情形，不计其他情形）</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（三）不予公开</w:t>
            </w:r>
          </w:p>
          <w:p>
            <w:pPr>
              <w:widowControl/>
              <w:jc w:val="left"/>
              <w:rPr>
                <w:rFonts w:ascii="宋体" w:hAnsi="宋体" w:cs="宋体"/>
                <w:kern w:val="0"/>
                <w:sz w:val="18"/>
                <w:szCs w:val="18"/>
              </w:rPr>
            </w:pPr>
            <w:r>
              <w:rPr>
                <w:rFonts w:ascii="宋体" w:hAnsi="宋体" w:cs="宋体"/>
                <w:kern w:val="0"/>
                <w:sz w:val="18"/>
                <w:szCs w:val="18"/>
              </w:rPr>
              <w:t> </w:t>
            </w: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1.属于国家秘密</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2.其他法律行政法规禁止公开</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3.危及“三安全一稳定”</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4.保护第三方合法权益</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5.属于三类内部事务信息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bookmarkEnd w:id="0"/>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6.属于四类过程性信息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7.属于行政执法案卷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8.属于行政查询事项</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（四）无法提供</w:t>
            </w:r>
          </w:p>
          <w:p>
            <w:pPr>
              <w:widowControl/>
              <w:jc w:val="left"/>
              <w:rPr>
                <w:rFonts w:ascii="宋体" w:hAnsi="宋体" w:cs="宋体"/>
                <w:kern w:val="0"/>
                <w:sz w:val="18"/>
                <w:szCs w:val="18"/>
              </w:rPr>
            </w:pPr>
            <w:r>
              <w:rPr>
                <w:rFonts w:ascii="宋体" w:hAnsi="宋体" w:cs="宋体"/>
                <w:kern w:val="0"/>
                <w:sz w:val="18"/>
                <w:szCs w:val="18"/>
              </w:rPr>
              <w:t> </w:t>
            </w: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1.本机关不掌握相关政府信息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2.没有现成信息需要另行制作</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3.补正后申请内容仍不明确</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（五）不予处理</w:t>
            </w:r>
          </w:p>
          <w:p>
            <w:pPr>
              <w:widowControl/>
              <w:jc w:val="left"/>
              <w:rPr>
                <w:rFonts w:ascii="宋体" w:hAnsi="宋体" w:cs="宋体"/>
                <w:kern w:val="0"/>
                <w:sz w:val="18"/>
                <w:szCs w:val="18"/>
              </w:rPr>
            </w:pPr>
            <w:r>
              <w:rPr>
                <w:rFonts w:ascii="宋体" w:hAnsi="宋体" w:cs="宋体"/>
                <w:kern w:val="0"/>
                <w:sz w:val="18"/>
                <w:szCs w:val="18"/>
              </w:rPr>
              <w:t> </w:t>
            </w: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numPr>
                <w:ilvl w:val="0"/>
                <w:numId w:val="1"/>
              </w:numPr>
              <w:jc w:val="left"/>
            </w:pPr>
            <w:r>
              <w:rPr>
                <w:rFonts w:hint="eastAsia" w:ascii="楷体" w:hAnsi="楷体" w:eastAsia="楷体" w:cs="宋体"/>
                <w:kern w:val="0"/>
                <w:sz w:val="20"/>
                <w:szCs w:val="20"/>
              </w:rPr>
              <w:t>信访举报投诉类申请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2.重复申请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9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3.要求提供公开出版物</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4.无正当理由大量反复申请</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76"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37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25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5.要求行政机关确认或重新出具已获取信息</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120"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（六）其他处理</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91" w:hRule="atLeast"/>
          <w:jc w:val="center"/>
        </w:trPr>
        <w:tc>
          <w:tcPr>
            <w:tcW w:w="362" w:type="pct"/>
            <w:vMerge w:val="continue"/>
            <w:tcBorders>
              <w:top w:val="outset" w:color="auto" w:sz="6" w:space="0"/>
              <w:left w:val="outset" w:color="auto" w:sz="6" w:space="0"/>
              <w:bottom w:val="single" w:color="auto" w:sz="8" w:space="0"/>
              <w:right w:val="outset" w:color="auto" w:sz="6" w:space="0"/>
            </w:tcBorders>
            <w:vAlign w:val="center"/>
          </w:tcPr>
          <w:p>
            <w:pPr>
              <w:widowControl/>
              <w:jc w:val="left"/>
              <w:rPr>
                <w:rFonts w:ascii="宋体" w:hAnsi="宋体" w:cs="宋体"/>
                <w:kern w:val="0"/>
                <w:sz w:val="18"/>
                <w:szCs w:val="18"/>
              </w:rPr>
            </w:pPr>
          </w:p>
        </w:tc>
        <w:tc>
          <w:tcPr>
            <w:tcW w:w="1630" w:type="pct"/>
            <w:gridSpan w:val="2"/>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left"/>
              <w:rPr>
                <w:rFonts w:ascii="宋体" w:hAnsi="宋体" w:cs="宋体"/>
                <w:kern w:val="0"/>
                <w:sz w:val="18"/>
                <w:szCs w:val="18"/>
              </w:rPr>
            </w:pPr>
            <w:r>
              <w:rPr>
                <w:rFonts w:hint="eastAsia" w:ascii="楷体" w:hAnsi="楷体" w:eastAsia="楷体" w:cs="宋体"/>
                <w:kern w:val="0"/>
                <w:sz w:val="20"/>
                <w:szCs w:val="20"/>
              </w:rPr>
              <w:t>（七）总计</w:t>
            </w:r>
          </w:p>
        </w:tc>
        <w:tc>
          <w:tcPr>
            <w:tcW w:w="62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8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81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781"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479" w:hRule="atLeast"/>
          <w:jc w:val="center"/>
        </w:trPr>
        <w:tc>
          <w:tcPr>
            <w:tcW w:w="1992" w:type="pct"/>
            <w:gridSpan w:val="3"/>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ind w:firstLine="200" w:firstLineChars="100"/>
              <w:jc w:val="left"/>
              <w:rPr>
                <w:rFonts w:ascii="宋体" w:hAnsi="宋体" w:cs="宋体"/>
                <w:kern w:val="0"/>
                <w:sz w:val="18"/>
                <w:szCs w:val="18"/>
              </w:rPr>
            </w:pPr>
            <w:r>
              <w:rPr>
                <w:rFonts w:hint="eastAsia" w:ascii="宋体" w:hAnsi="宋体" w:cs="宋体"/>
                <w:kern w:val="0"/>
                <w:sz w:val="20"/>
                <w:szCs w:val="20"/>
              </w:rPr>
              <w:t>四、结转下年度继续办理</w:t>
            </w:r>
          </w:p>
        </w:tc>
        <w:tc>
          <w:tcPr>
            <w:tcW w:w="37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cs="Calibri"/>
                <w:kern w:val="0"/>
                <w:sz w:val="20"/>
                <w:szCs w:val="20"/>
              </w:rPr>
              <w:t>0</w:t>
            </w:r>
            <w:r>
              <w:rPr>
                <w:rFonts w:cs="Calibri"/>
                <w:kern w:val="0"/>
                <w:sz w:val="20"/>
                <w:szCs w:val="20"/>
              </w:rPr>
              <w:t> </w:t>
            </w:r>
          </w:p>
        </w:tc>
        <w:tc>
          <w:tcPr>
            <w:tcW w:w="482"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rPr>
              <w:t>0</w:t>
            </w:r>
          </w:p>
        </w:tc>
        <w:tc>
          <w:tcPr>
            <w:tcW w:w="466"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7"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0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bl>
    <w:p>
      <w:pPr>
        <w:pStyle w:val="2"/>
        <w:rPr>
          <w:rFonts w:hint="eastAsia" w:ascii="黑体" w:hAnsi="黑体" w:eastAsia="黑体" w:cs="黑体"/>
          <w:kern w:val="0"/>
          <w:sz w:val="32"/>
          <w:szCs w:val="32"/>
        </w:rPr>
      </w:pPr>
    </w:p>
    <w:p>
      <w:pPr>
        <w:pStyle w:val="2"/>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6"/>
        <w:tblpPr w:leftFromText="180" w:rightFromText="180" w:vertAnchor="text" w:horzAnchor="page" w:tblpX="1615" w:tblpY="5"/>
        <w:tblOverlap w:val="never"/>
        <w:tblW w:w="5189" w:type="pct"/>
        <w:tblInd w:w="0" w:type="dxa"/>
        <w:tblBorders>
          <w:top w:val="outset" w:color="auto" w:sz="6" w:space="0"/>
          <w:left w:val="outset" w:color="auto" w:sz="6" w:space="0"/>
          <w:bottom w:val="none" w:color="auto" w:sz="0" w:space="0"/>
          <w:right w:val="outset" w:color="auto" w:sz="6" w:space="0"/>
          <w:insideH w:val="none" w:color="auto" w:sz="0" w:space="0"/>
          <w:insideV w:val="none" w:color="auto" w:sz="0" w:space="0"/>
        </w:tblBorders>
        <w:tblLayout w:type="autofit"/>
        <w:tblCellMar>
          <w:top w:w="15" w:type="dxa"/>
          <w:left w:w="15" w:type="dxa"/>
          <w:bottom w:w="0" w:type="dxa"/>
          <w:right w:w="0" w:type="dxa"/>
        </w:tblCellMar>
      </w:tblPr>
      <w:tblGrid>
        <w:gridCol w:w="567"/>
        <w:gridCol w:w="567"/>
        <w:gridCol w:w="570"/>
        <w:gridCol w:w="570"/>
        <w:gridCol w:w="643"/>
        <w:gridCol w:w="510"/>
        <w:gridCol w:w="570"/>
        <w:gridCol w:w="570"/>
        <w:gridCol w:w="570"/>
        <w:gridCol w:w="612"/>
        <w:gridCol w:w="570"/>
        <w:gridCol w:w="570"/>
        <w:gridCol w:w="570"/>
        <w:gridCol w:w="570"/>
        <w:gridCol w:w="608"/>
      </w:tblGrid>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668" w:hRule="atLeast"/>
        </w:trPr>
        <w:tc>
          <w:tcPr>
            <w:tcW w:w="1688"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行政复议</w:t>
            </w:r>
          </w:p>
        </w:tc>
        <w:tc>
          <w:tcPr>
            <w:tcW w:w="3311" w:type="pct"/>
            <w:gridSpan w:val="10"/>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行政诉讼</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673" w:hRule="atLeast"/>
        </w:trPr>
        <w:tc>
          <w:tcPr>
            <w:tcW w:w="328"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结果维持</w:t>
            </w:r>
          </w:p>
        </w:tc>
        <w:tc>
          <w:tcPr>
            <w:tcW w:w="328"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结果纠正</w:t>
            </w:r>
          </w:p>
        </w:tc>
        <w:tc>
          <w:tcPr>
            <w:tcW w:w="330"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其他结果</w:t>
            </w:r>
          </w:p>
        </w:tc>
        <w:tc>
          <w:tcPr>
            <w:tcW w:w="330"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尚未审结</w:t>
            </w:r>
          </w:p>
        </w:tc>
        <w:tc>
          <w:tcPr>
            <w:tcW w:w="371" w:type="pct"/>
            <w:vMerge w:val="restar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总计</w:t>
            </w:r>
          </w:p>
        </w:tc>
        <w:tc>
          <w:tcPr>
            <w:tcW w:w="1639"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未经复议直接起诉</w:t>
            </w:r>
          </w:p>
        </w:tc>
        <w:tc>
          <w:tcPr>
            <w:tcW w:w="1671" w:type="pct"/>
            <w:gridSpan w:val="5"/>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复议后起诉</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905" w:hRule="atLeast"/>
        </w:trPr>
        <w:tc>
          <w:tcPr>
            <w:tcW w:w="328"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28"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30"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30"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371" w:type="pct"/>
            <w:vMerge w:val="continue"/>
            <w:tcBorders>
              <w:top w:val="outset" w:color="auto" w:sz="6" w:space="0"/>
              <w:left w:val="outset" w:color="auto" w:sz="6" w:space="0"/>
              <w:bottom w:val="single" w:color="auto" w:sz="8" w:space="0"/>
              <w:right w:val="outset" w:color="auto" w:sz="6" w:space="0"/>
            </w:tcBorders>
            <w:vAlign w:val="center"/>
          </w:tcPr>
          <w:p>
            <w:pPr>
              <w:widowControl/>
              <w:spacing w:line="580" w:lineRule="exact"/>
              <w:jc w:val="center"/>
              <w:rPr>
                <w:rFonts w:ascii="宋体" w:hAnsi="宋体" w:cs="宋体"/>
                <w:kern w:val="0"/>
                <w:szCs w:val="21"/>
              </w:rPr>
            </w:pPr>
          </w:p>
        </w:tc>
        <w:tc>
          <w:tcPr>
            <w:tcW w:w="295"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结果维持</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结果纠正</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其他结果</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尚未审结</w:t>
            </w:r>
          </w:p>
        </w:tc>
        <w:tc>
          <w:tcPr>
            <w:tcW w:w="353"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hint="eastAsia" w:ascii="宋体" w:hAnsi="宋体" w:cs="宋体"/>
                <w:kern w:val="0"/>
                <w:szCs w:val="21"/>
              </w:rPr>
            </w:pPr>
            <w:r>
              <w:rPr>
                <w:rFonts w:hint="eastAsia" w:ascii="宋体" w:hAnsi="宋体" w:cs="宋体"/>
                <w:kern w:val="0"/>
                <w:szCs w:val="21"/>
              </w:rPr>
              <w:t>总计</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结果维持</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结果纠正</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其他结果</w:t>
            </w:r>
          </w:p>
        </w:tc>
        <w:tc>
          <w:tcPr>
            <w:tcW w:w="330"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尚未审结</w:t>
            </w:r>
          </w:p>
        </w:tc>
        <w:tc>
          <w:tcPr>
            <w:tcW w:w="351" w:type="pct"/>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宋体" w:hAnsi="宋体" w:cs="宋体"/>
                <w:kern w:val="0"/>
                <w:szCs w:val="21"/>
              </w:rPr>
            </w:pPr>
            <w:r>
              <w:rPr>
                <w:rFonts w:hint="eastAsia" w:ascii="宋体" w:hAnsi="宋体" w:cs="宋体"/>
                <w:kern w:val="0"/>
                <w:szCs w:val="21"/>
              </w:rPr>
              <w:t>总计</w:t>
            </w:r>
          </w:p>
        </w:tc>
      </w:tr>
      <w:tr>
        <w:tblPrEx>
          <w:tblBorders>
            <w:top w:val="outset" w:color="auto" w:sz="6" w:space="0"/>
            <w:left w:val="outset" w:color="auto" w:sz="6" w:space="0"/>
            <w:bottom w:val="none" w:color="auto" w:sz="0" w:space="0"/>
            <w:right w:val="outset" w:color="auto" w:sz="6" w:space="0"/>
            <w:insideH w:val="none" w:color="auto" w:sz="0" w:space="0"/>
            <w:insideV w:val="none" w:color="auto" w:sz="0" w:space="0"/>
          </w:tblBorders>
          <w:tblCellMar>
            <w:top w:w="15" w:type="dxa"/>
            <w:left w:w="15" w:type="dxa"/>
            <w:bottom w:w="0" w:type="dxa"/>
            <w:right w:w="0" w:type="dxa"/>
          </w:tblCellMar>
        </w:tblPrEx>
        <w:trPr>
          <w:trHeight w:val="693" w:hRule="atLeast"/>
        </w:trPr>
        <w:tc>
          <w:tcPr>
            <w:tcW w:w="567"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67"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43"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1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0</w:t>
            </w:r>
          </w:p>
        </w:tc>
        <w:tc>
          <w:tcPr>
            <w:tcW w:w="612"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570"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608" w:type="dxa"/>
            <w:tcBorders>
              <w:top w:val="outset" w:color="auto" w:sz="6" w:space="0"/>
              <w:left w:val="outset" w:color="auto" w:sz="6" w:space="0"/>
              <w:bottom w:val="single" w:color="auto" w:sz="8" w:space="0"/>
              <w:right w:val="outset" w:color="auto" w:sz="6" w:space="0"/>
            </w:tcBorders>
            <w:tcMar>
              <w:top w:w="0" w:type="dxa"/>
              <w:left w:w="0" w:type="dxa"/>
              <w:bottom w:w="0" w:type="dxa"/>
              <w:right w:w="0" w:type="dxa"/>
            </w:tcMar>
            <w:vAlign w:val="center"/>
          </w:tcPr>
          <w:p>
            <w:pPr>
              <w:widowControl/>
              <w:spacing w:line="58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r>
    </w:tbl>
    <w:p>
      <w:pPr>
        <w:pStyle w:val="2"/>
        <w:ind w:firstLine="640" w:firstLineChars="200"/>
        <w:rPr>
          <w:rFonts w:hint="eastAsia" w:ascii="黑体" w:hAnsi="黑体" w:eastAsia="黑体" w:cs="黑体"/>
          <w:kern w:val="0"/>
          <w:sz w:val="32"/>
          <w:szCs w:val="32"/>
        </w:rPr>
      </w:pPr>
    </w:p>
    <w:p>
      <w:pPr>
        <w:pStyle w:val="2"/>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pStyle w:val="2"/>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我局严格落实《中华人民共和国政府信息公开条例》《白银区政务公开工作实施方案的通知》等信访条例，积极主动作为。但仍存在着不足和差距。主要表现为：一是政策解读的针对性和有效性还不够强。</w:t>
      </w:r>
    </w:p>
    <w:p>
      <w:pPr>
        <w:pStyle w:val="2"/>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下一步我局将继续加强信息发布工作力度，使信息公开业务更加有序、便民、高效，确保广大人民群众的知情权、参与权、表达权和监督权。进一步规范政府信息发布工作，确保网站信息内容准确安全不出纰漏。 </w:t>
      </w:r>
    </w:p>
    <w:p>
      <w:pPr>
        <w:pStyle w:val="2"/>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白银区住房和城乡建设局</w:t>
      </w: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29E43"/>
    <w:multiLevelType w:val="singleLevel"/>
    <w:tmpl w:val="AA829E4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FE4C39"/>
    <w:rsid w:val="000046AB"/>
    <w:rsid w:val="0007300F"/>
    <w:rsid w:val="00107108"/>
    <w:rsid w:val="001B7CF3"/>
    <w:rsid w:val="001D47C8"/>
    <w:rsid w:val="00480B01"/>
    <w:rsid w:val="0066738E"/>
    <w:rsid w:val="0078359F"/>
    <w:rsid w:val="0080399C"/>
    <w:rsid w:val="013D3549"/>
    <w:rsid w:val="014E2276"/>
    <w:rsid w:val="01BB5434"/>
    <w:rsid w:val="01D34B7C"/>
    <w:rsid w:val="02826BDF"/>
    <w:rsid w:val="0296029A"/>
    <w:rsid w:val="02CE17E8"/>
    <w:rsid w:val="02D74B40"/>
    <w:rsid w:val="03303FCA"/>
    <w:rsid w:val="03BB45AA"/>
    <w:rsid w:val="03D66BA6"/>
    <w:rsid w:val="05094D59"/>
    <w:rsid w:val="05FD48BE"/>
    <w:rsid w:val="063C7440"/>
    <w:rsid w:val="06A33E01"/>
    <w:rsid w:val="06BA27AF"/>
    <w:rsid w:val="07A64AE1"/>
    <w:rsid w:val="07B00469"/>
    <w:rsid w:val="07F67816"/>
    <w:rsid w:val="08420CAE"/>
    <w:rsid w:val="09825124"/>
    <w:rsid w:val="09C45138"/>
    <w:rsid w:val="0A297937"/>
    <w:rsid w:val="0AD312CC"/>
    <w:rsid w:val="0B7373D0"/>
    <w:rsid w:val="0BB21CA6"/>
    <w:rsid w:val="0C0C7D3C"/>
    <w:rsid w:val="0C7E7393"/>
    <w:rsid w:val="0CA35E89"/>
    <w:rsid w:val="0D216215"/>
    <w:rsid w:val="0D4C0A5B"/>
    <w:rsid w:val="0D7F4077"/>
    <w:rsid w:val="0DD035CF"/>
    <w:rsid w:val="0E89689F"/>
    <w:rsid w:val="0EA51B6A"/>
    <w:rsid w:val="0EE939F4"/>
    <w:rsid w:val="0F7237D5"/>
    <w:rsid w:val="0F790C96"/>
    <w:rsid w:val="104D01F0"/>
    <w:rsid w:val="10DB1C9F"/>
    <w:rsid w:val="10F12DE7"/>
    <w:rsid w:val="112F3D99"/>
    <w:rsid w:val="1154735C"/>
    <w:rsid w:val="12737AA3"/>
    <w:rsid w:val="12C16C73"/>
    <w:rsid w:val="148F3E50"/>
    <w:rsid w:val="15413787"/>
    <w:rsid w:val="15D255BB"/>
    <w:rsid w:val="16832BBD"/>
    <w:rsid w:val="17800EAB"/>
    <w:rsid w:val="17993829"/>
    <w:rsid w:val="179D7CAF"/>
    <w:rsid w:val="17BA5BD8"/>
    <w:rsid w:val="184243B2"/>
    <w:rsid w:val="184512CB"/>
    <w:rsid w:val="18876269"/>
    <w:rsid w:val="196565AA"/>
    <w:rsid w:val="19A822A5"/>
    <w:rsid w:val="1ACD14FE"/>
    <w:rsid w:val="1BBB0703"/>
    <w:rsid w:val="1C7018A7"/>
    <w:rsid w:val="1CE819CC"/>
    <w:rsid w:val="1CEC4050"/>
    <w:rsid w:val="1D84492B"/>
    <w:rsid w:val="1E110AAE"/>
    <w:rsid w:val="1E581DAC"/>
    <w:rsid w:val="1E8F7AC8"/>
    <w:rsid w:val="1F2B5BA0"/>
    <w:rsid w:val="1F58270D"/>
    <w:rsid w:val="205E21C7"/>
    <w:rsid w:val="2072468A"/>
    <w:rsid w:val="20F31305"/>
    <w:rsid w:val="21201B17"/>
    <w:rsid w:val="21CF4244"/>
    <w:rsid w:val="22957F57"/>
    <w:rsid w:val="23523209"/>
    <w:rsid w:val="23A36E8F"/>
    <w:rsid w:val="23B753E0"/>
    <w:rsid w:val="240651F4"/>
    <w:rsid w:val="24294678"/>
    <w:rsid w:val="24741D97"/>
    <w:rsid w:val="25C9295B"/>
    <w:rsid w:val="25CF1937"/>
    <w:rsid w:val="25D966A1"/>
    <w:rsid w:val="26265A28"/>
    <w:rsid w:val="26E36D60"/>
    <w:rsid w:val="279B588D"/>
    <w:rsid w:val="27B626C7"/>
    <w:rsid w:val="27F531EF"/>
    <w:rsid w:val="28905158"/>
    <w:rsid w:val="2A5178CD"/>
    <w:rsid w:val="2A9D2527"/>
    <w:rsid w:val="2AC7248F"/>
    <w:rsid w:val="2B7041E4"/>
    <w:rsid w:val="2BAC1C5F"/>
    <w:rsid w:val="2BB414D2"/>
    <w:rsid w:val="2C29576D"/>
    <w:rsid w:val="2C7768C8"/>
    <w:rsid w:val="2C8000EF"/>
    <w:rsid w:val="2CA538E1"/>
    <w:rsid w:val="2D543475"/>
    <w:rsid w:val="2D96216B"/>
    <w:rsid w:val="2D993ED4"/>
    <w:rsid w:val="2DDC76DE"/>
    <w:rsid w:val="2E5C3488"/>
    <w:rsid w:val="2E5D459D"/>
    <w:rsid w:val="2E805B53"/>
    <w:rsid w:val="2ECF7221"/>
    <w:rsid w:val="2EDF6169"/>
    <w:rsid w:val="2F0A1064"/>
    <w:rsid w:val="2FE36969"/>
    <w:rsid w:val="2FEA2E42"/>
    <w:rsid w:val="308862DA"/>
    <w:rsid w:val="321901F5"/>
    <w:rsid w:val="322546D1"/>
    <w:rsid w:val="32B67A1F"/>
    <w:rsid w:val="32FD564D"/>
    <w:rsid w:val="33A37FA3"/>
    <w:rsid w:val="33D67A8F"/>
    <w:rsid w:val="3471595D"/>
    <w:rsid w:val="357716E7"/>
    <w:rsid w:val="35936F36"/>
    <w:rsid w:val="35F112F5"/>
    <w:rsid w:val="37451DD4"/>
    <w:rsid w:val="38502DAA"/>
    <w:rsid w:val="39615660"/>
    <w:rsid w:val="3A466B2D"/>
    <w:rsid w:val="3A8328DC"/>
    <w:rsid w:val="3AA65D6A"/>
    <w:rsid w:val="3BCD0AFC"/>
    <w:rsid w:val="3C5014A5"/>
    <w:rsid w:val="3D6A4C14"/>
    <w:rsid w:val="3D6B265E"/>
    <w:rsid w:val="3DC16C17"/>
    <w:rsid w:val="3DCD11CC"/>
    <w:rsid w:val="3DEC5B90"/>
    <w:rsid w:val="3E8C307B"/>
    <w:rsid w:val="3E9768B1"/>
    <w:rsid w:val="3EB40CD0"/>
    <w:rsid w:val="3ECB5CE1"/>
    <w:rsid w:val="3F6A6490"/>
    <w:rsid w:val="3FC66DEB"/>
    <w:rsid w:val="404E1296"/>
    <w:rsid w:val="407E7DCE"/>
    <w:rsid w:val="40890D17"/>
    <w:rsid w:val="41357D4A"/>
    <w:rsid w:val="413C1465"/>
    <w:rsid w:val="42404F07"/>
    <w:rsid w:val="42843695"/>
    <w:rsid w:val="44444E8A"/>
    <w:rsid w:val="444B7F23"/>
    <w:rsid w:val="44D613E9"/>
    <w:rsid w:val="455616F3"/>
    <w:rsid w:val="45CA7611"/>
    <w:rsid w:val="468C2B19"/>
    <w:rsid w:val="471124D2"/>
    <w:rsid w:val="474F4FC5"/>
    <w:rsid w:val="47937A3D"/>
    <w:rsid w:val="47A223E1"/>
    <w:rsid w:val="47A854FE"/>
    <w:rsid w:val="47BD3CD6"/>
    <w:rsid w:val="48AA54D8"/>
    <w:rsid w:val="48B3492D"/>
    <w:rsid w:val="498559E0"/>
    <w:rsid w:val="498872D5"/>
    <w:rsid w:val="498E5DEA"/>
    <w:rsid w:val="49A20F42"/>
    <w:rsid w:val="4A0F6DCB"/>
    <w:rsid w:val="4B294DDA"/>
    <w:rsid w:val="4B321E7A"/>
    <w:rsid w:val="4B75736C"/>
    <w:rsid w:val="4C741719"/>
    <w:rsid w:val="4CC81932"/>
    <w:rsid w:val="4CC81EB8"/>
    <w:rsid w:val="4D3A2148"/>
    <w:rsid w:val="4DFB1583"/>
    <w:rsid w:val="4EBD52C2"/>
    <w:rsid w:val="4F2451F0"/>
    <w:rsid w:val="4F8E4E08"/>
    <w:rsid w:val="4FED287A"/>
    <w:rsid w:val="5053691C"/>
    <w:rsid w:val="50AD3DB7"/>
    <w:rsid w:val="50B87AF1"/>
    <w:rsid w:val="52854FEC"/>
    <w:rsid w:val="52867707"/>
    <w:rsid w:val="52D10231"/>
    <w:rsid w:val="53277E51"/>
    <w:rsid w:val="53464EF5"/>
    <w:rsid w:val="536A41E2"/>
    <w:rsid w:val="545C7FCE"/>
    <w:rsid w:val="55150B9A"/>
    <w:rsid w:val="56C4470D"/>
    <w:rsid w:val="56EC000F"/>
    <w:rsid w:val="56FE4C39"/>
    <w:rsid w:val="57EF6B2C"/>
    <w:rsid w:val="57FE034E"/>
    <w:rsid w:val="5818245E"/>
    <w:rsid w:val="595B1396"/>
    <w:rsid w:val="59800949"/>
    <w:rsid w:val="59867C00"/>
    <w:rsid w:val="5A7F67C4"/>
    <w:rsid w:val="5A916DC8"/>
    <w:rsid w:val="5AB31D0A"/>
    <w:rsid w:val="5AFC1970"/>
    <w:rsid w:val="5B581ABD"/>
    <w:rsid w:val="5B692F9F"/>
    <w:rsid w:val="5B6966A8"/>
    <w:rsid w:val="5C8B3434"/>
    <w:rsid w:val="5CB362F0"/>
    <w:rsid w:val="5CC153C5"/>
    <w:rsid w:val="5CC156B1"/>
    <w:rsid w:val="5D535B40"/>
    <w:rsid w:val="5D6E5279"/>
    <w:rsid w:val="5E45113A"/>
    <w:rsid w:val="5E9B6655"/>
    <w:rsid w:val="5EBB4F64"/>
    <w:rsid w:val="622D3FC7"/>
    <w:rsid w:val="62792AF3"/>
    <w:rsid w:val="635051A2"/>
    <w:rsid w:val="63FE443D"/>
    <w:rsid w:val="64061D04"/>
    <w:rsid w:val="65CE34F8"/>
    <w:rsid w:val="66E2113B"/>
    <w:rsid w:val="67504B44"/>
    <w:rsid w:val="676C4680"/>
    <w:rsid w:val="678E3897"/>
    <w:rsid w:val="679201DB"/>
    <w:rsid w:val="697D7004"/>
    <w:rsid w:val="6A3C23F9"/>
    <w:rsid w:val="6CCB0ACA"/>
    <w:rsid w:val="6CE64481"/>
    <w:rsid w:val="6D2F2FED"/>
    <w:rsid w:val="6D5737C1"/>
    <w:rsid w:val="6DBE08C2"/>
    <w:rsid w:val="6DFA0AFC"/>
    <w:rsid w:val="6E1E6B73"/>
    <w:rsid w:val="6E8977BA"/>
    <w:rsid w:val="6E971ED7"/>
    <w:rsid w:val="6FF77651"/>
    <w:rsid w:val="706F2606"/>
    <w:rsid w:val="70BE4354"/>
    <w:rsid w:val="711649B9"/>
    <w:rsid w:val="722C0D3F"/>
    <w:rsid w:val="72D66D46"/>
    <w:rsid w:val="733208B6"/>
    <w:rsid w:val="73AE253C"/>
    <w:rsid w:val="751F7541"/>
    <w:rsid w:val="75542D5D"/>
    <w:rsid w:val="763444AF"/>
    <w:rsid w:val="766C4788"/>
    <w:rsid w:val="77506DF9"/>
    <w:rsid w:val="7760037C"/>
    <w:rsid w:val="779B6C2C"/>
    <w:rsid w:val="78464D74"/>
    <w:rsid w:val="78470E66"/>
    <w:rsid w:val="784C3D32"/>
    <w:rsid w:val="78EC1FC3"/>
    <w:rsid w:val="795F3749"/>
    <w:rsid w:val="796C21B2"/>
    <w:rsid w:val="798805D4"/>
    <w:rsid w:val="79B7342D"/>
    <w:rsid w:val="7AD1051F"/>
    <w:rsid w:val="7AD318A7"/>
    <w:rsid w:val="7AE47018"/>
    <w:rsid w:val="7B0910D8"/>
    <w:rsid w:val="7B2E21B6"/>
    <w:rsid w:val="7D5A676D"/>
    <w:rsid w:val="7E1C5F55"/>
    <w:rsid w:val="7FA269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样式1"/>
    <w:basedOn w:val="1"/>
    <w:qFormat/>
    <w:uiPriority w:val="0"/>
    <w:pPr>
      <w:spacing w:line="560" w:lineRule="exact"/>
      <w:ind w:firstLine="420" w:firstLineChars="200"/>
    </w:pPr>
    <w:rPr>
      <w:rFonts w:eastAsia="仿宋" w:asciiTheme="minorHAnsi" w:hAnsiTheme="minorHAnsi" w:cstheme="minorBid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374</Words>
  <Characters>2135</Characters>
  <Lines>17</Lines>
  <Paragraphs>5</Paragraphs>
  <TotalTime>0</TotalTime>
  <ScaleCrop>false</ScaleCrop>
  <LinksUpToDate>false</LinksUpToDate>
  <CharactersWithSpaces>2504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2020-10-16T09:09:00Z</dcterms:created>
  <dc:creator>墨尔本的晴天1380427166</dc:creator>
  <cp:lastModifiedBy>微信用户</cp:lastModifiedBy>
  <dcterms:modified xsi:type="dcterms:W3CDTF">2022-01-20T07:10:32Z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CF436B2D51484E088C5FE391C8865D6E</vt:lpwstr>
  </property>
</Properties>
</file>