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白银市白银区城市管理综合执法局</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202</w:t>
      </w:r>
      <w:r>
        <w:rPr>
          <w:rFonts w:hint="eastAsia" w:ascii="方正小标宋简体" w:hAnsi="方正小标宋简体" w:eastAsia="方正小标宋简体" w:cs="方正小标宋简体"/>
          <w:b/>
          <w:bCs/>
          <w:sz w:val="36"/>
          <w:szCs w:val="36"/>
          <w:lang w:val="en-US" w:eastAsia="zh-CN"/>
        </w:rPr>
        <w:t>1</w:t>
      </w:r>
      <w:r>
        <w:rPr>
          <w:rFonts w:hint="eastAsia" w:ascii="方正小标宋简体" w:hAnsi="方正小标宋简体" w:eastAsia="方正小标宋简体" w:cs="方正小标宋简体"/>
          <w:b/>
          <w:bCs/>
          <w:sz w:val="36"/>
          <w:szCs w:val="36"/>
        </w:rPr>
        <w:t>年度政府信息公开工作年度报告</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年，白银区城市管理综合执法局以习近平新时代中国特色社会主义思想为指导，全面贯彻落实</w:t>
      </w:r>
      <w:r>
        <w:rPr>
          <w:rFonts w:hint="eastAsia" w:ascii="仿宋_GB2312" w:hAnsi="仿宋_GB2312" w:eastAsia="仿宋_GB2312" w:cs="仿宋_GB2312"/>
          <w:sz w:val="28"/>
          <w:szCs w:val="28"/>
          <w:lang w:eastAsia="zh-CN"/>
        </w:rPr>
        <w:t>全国两会、</w:t>
      </w:r>
      <w:r>
        <w:rPr>
          <w:rFonts w:hint="eastAsia" w:ascii="仿宋_GB2312" w:hAnsi="仿宋_GB2312" w:eastAsia="仿宋_GB2312" w:cs="仿宋_GB2312"/>
          <w:sz w:val="28"/>
          <w:szCs w:val="28"/>
        </w:rPr>
        <w:t>十九</w:t>
      </w:r>
      <w:r>
        <w:rPr>
          <w:rFonts w:hint="eastAsia" w:ascii="仿宋_GB2312" w:hAnsi="仿宋_GB2312" w:eastAsia="仿宋_GB2312" w:cs="仿宋_GB2312"/>
          <w:sz w:val="28"/>
          <w:szCs w:val="28"/>
          <w:lang w:eastAsia="zh-CN"/>
        </w:rPr>
        <w:t>届六</w:t>
      </w:r>
      <w:r>
        <w:rPr>
          <w:rFonts w:hint="eastAsia" w:ascii="仿宋_GB2312" w:hAnsi="仿宋_GB2312" w:eastAsia="仿宋_GB2312" w:cs="仿宋_GB2312"/>
          <w:sz w:val="28"/>
          <w:szCs w:val="28"/>
        </w:rPr>
        <w:t>中全会精神，严格按照《中华人民共和国政府信息公开条例》和省市区政府信息公开相关要求积极主动做好政府信息公开工作，细化主动公开内容，提升依法申请公开服务水平，积极推进政务公开化、制度化、信息化。现将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年度政府信息公开工作情况报告如下：</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一、总体情况</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年，我局主动公开信息报道</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条。其中包括政策法规类</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条、部门文件类</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条、规划计划类</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条、行政处罚决定类</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条、财政预算、决算类</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条、“双随机、一公开”内容</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条、政策解读类</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条。同时，对机关简介进行调整完善。未办理行政许可和其他对外管理服务事项，不存在行政事业性收费项目。未发生因政府信息公开导致的行政复议、行政诉讼。未设立政府信息公开工作专门机构，由局综合股兼职开展政府信息公开工作。从事政府信息公开工作人员</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名，1名专职、</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名兼职。做到明确公开内容、公开主体、公开形式、公开时限，进一步加强信息发布协调、解读和回应工作，提升信息公开实效和信息公开服务能力，确保信息公开工作朝着标准化、规范化方向发展。</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ascii="Helvetica" w:hAnsi="Helvetica" w:eastAsia="Helvetica" w:cs="Helvetica"/>
          <w:i w:val="0"/>
          <w:iCs w:val="0"/>
          <w:caps w:val="0"/>
          <w:color w:val="111111"/>
          <w:spacing w:val="0"/>
          <w:sz w:val="27"/>
          <w:szCs w:val="27"/>
        </w:rPr>
      </w:pPr>
      <w:r>
        <w:rPr>
          <w:rFonts w:ascii="仿宋_GB2312" w:hAnsi="Helvetica" w:eastAsia="仿宋_GB2312" w:cs="仿宋_GB2312"/>
          <w:i w:val="0"/>
          <w:iCs w:val="0"/>
          <w:caps w:val="0"/>
          <w:color w:val="111111"/>
          <w:spacing w:val="0"/>
          <w:sz w:val="31"/>
          <w:szCs w:val="31"/>
          <w:bdr w:val="none" w:color="auto" w:sz="0" w:space="0"/>
          <w:shd w:val="clear" w:fill="FFFFFF"/>
        </w:rPr>
        <w:t>二、主动公开政府信息情况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iCs w:val="0"/>
          <w:caps w:val="0"/>
          <w:color w:val="333333"/>
          <w:spacing w:val="0"/>
          <w:sz w:val="24"/>
          <w:szCs w:val="24"/>
        </w:rPr>
      </w:pPr>
    </w:p>
    <w:tbl>
      <w:tblPr>
        <w:tblW w:w="9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33"/>
        <w:gridCol w:w="2434"/>
        <w:gridCol w:w="2434"/>
        <w:gridCol w:w="2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 w:type="dxa"/>
            <w:gridSpan w:val="4"/>
            <w:tcBorders>
              <w:top w:val="nil"/>
              <w:left w:val="nil"/>
              <w:bottom w:val="nil"/>
              <w:right w:val="nil"/>
            </w:tcBorders>
            <w:shd w:val="clear" w:color="auto" w:fill="C6D9F1"/>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信息内容</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本年</w:t>
            </w:r>
            <w:r>
              <w:rPr>
                <w:rFonts w:hint="eastAsia" w:ascii="宋体" w:hAnsi="宋体" w:eastAsia="宋体" w:cs="宋体"/>
                <w:i w:val="0"/>
                <w:iCs w:val="0"/>
                <w:caps w:val="0"/>
                <w:color w:val="111111"/>
                <w:spacing w:val="0"/>
                <w:sz w:val="19"/>
                <w:szCs w:val="19"/>
                <w:bdr w:val="none" w:color="auto" w:sz="0" w:space="0"/>
              </w:rPr>
              <w:t>制发件数</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本年废止件数</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现行有效件</w:t>
            </w:r>
            <w:r>
              <w:rPr>
                <w:rFonts w:hint="eastAsia" w:ascii="宋体" w:hAnsi="宋体" w:eastAsia="宋体" w:cs="宋体"/>
                <w:i w:val="0"/>
                <w:iCs w:val="0"/>
                <w:caps w:val="0"/>
                <w:color w:val="111111"/>
                <w:spacing w:val="0"/>
                <w:sz w:val="19"/>
                <w:szCs w:val="19"/>
                <w:bdr w:val="none" w:color="auto" w:sz="0" w:space="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宋体" w:hAnsi="宋体" w:eastAsia="宋体" w:cs="宋体"/>
                <w:i w:val="0"/>
                <w:iCs w:val="0"/>
                <w:caps w:val="0"/>
                <w:color w:val="000000"/>
                <w:spacing w:val="0"/>
                <w:sz w:val="19"/>
                <w:szCs w:val="19"/>
                <w:bdr w:val="none" w:color="auto" w:sz="0" w:space="0"/>
              </w:rPr>
              <w:t>规章</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111111"/>
                <w:spacing w:val="0"/>
                <w:kern w:val="0"/>
                <w:sz w:val="21"/>
                <w:szCs w:val="21"/>
                <w:bdr w:val="none" w:color="auto" w:sz="0" w:space="0"/>
                <w:lang w:val="en-US" w:eastAsia="zh-CN" w:bidi="ar"/>
              </w:rPr>
              <w:t>0</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111111"/>
                <w:spacing w:val="0"/>
                <w:kern w:val="0"/>
                <w:sz w:val="21"/>
                <w:szCs w:val="21"/>
                <w:bdr w:val="none" w:color="auto" w:sz="0" w:space="0"/>
                <w:lang w:val="en-US" w:eastAsia="zh-CN" w:bidi="ar"/>
              </w:rPr>
              <w:t>0</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111111"/>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宋体" w:hAnsi="宋体" w:eastAsia="宋体" w:cs="宋体"/>
                <w:i w:val="0"/>
                <w:iCs w:val="0"/>
                <w:caps w:val="0"/>
                <w:color w:val="000000"/>
                <w:spacing w:val="0"/>
                <w:sz w:val="19"/>
                <w:szCs w:val="19"/>
                <w:bdr w:val="none" w:color="auto" w:sz="0" w:space="0"/>
              </w:rPr>
              <w:t>行政规范性文件</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111111"/>
                <w:spacing w:val="0"/>
                <w:kern w:val="0"/>
                <w:sz w:val="21"/>
                <w:szCs w:val="21"/>
                <w:bdr w:val="none" w:color="auto" w:sz="0" w:space="0"/>
                <w:lang w:val="en-US" w:eastAsia="zh-CN" w:bidi="ar"/>
              </w:rPr>
              <w:t>0</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111111"/>
                <w:spacing w:val="0"/>
                <w:kern w:val="0"/>
                <w:sz w:val="21"/>
                <w:szCs w:val="21"/>
                <w:bdr w:val="none" w:color="auto" w:sz="0" w:space="0"/>
                <w:lang w:val="en-US" w:eastAsia="zh-CN" w:bidi="ar"/>
              </w:rPr>
              <w:t>0</w:t>
            </w:r>
          </w:p>
        </w:tc>
        <w:tc>
          <w:tcPr>
            <w:tcW w:w="6" w:type="dxa"/>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111111"/>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 w:type="dxa"/>
            <w:gridSpan w:val="4"/>
            <w:tcBorders>
              <w:top w:val="nil"/>
              <w:left w:val="nil"/>
              <w:bottom w:val="nil"/>
              <w:right w:val="nil"/>
            </w:tcBorders>
            <w:shd w:val="clear" w:color="auto" w:fill="C6D9F1"/>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信息内容</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宋体" w:hAnsi="宋体" w:eastAsia="宋体" w:cs="宋体"/>
                <w:i w:val="0"/>
                <w:iCs w:val="0"/>
                <w:caps w:val="0"/>
                <w:color w:val="000000"/>
                <w:spacing w:val="0"/>
                <w:sz w:val="19"/>
                <w:szCs w:val="19"/>
                <w:bdr w:val="none" w:color="auto" w:sz="0" w:space="0"/>
              </w:rPr>
              <w:t>行政许可</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 w:type="dxa"/>
            <w:gridSpan w:val="4"/>
            <w:tcBorders>
              <w:top w:val="nil"/>
              <w:left w:val="nil"/>
              <w:bottom w:val="nil"/>
              <w:right w:val="nil"/>
            </w:tcBorders>
            <w:shd w:val="clear" w:color="auto" w:fill="C6D9F1"/>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eastAsia" w:ascii="宋体" w:hAnsi="宋体" w:eastAsia="宋体" w:cs="宋体"/>
                <w:i w:val="0"/>
                <w:iCs w:val="0"/>
                <w:caps w:val="0"/>
                <w:color w:val="000000"/>
                <w:spacing w:val="0"/>
                <w:sz w:val="19"/>
                <w:szCs w:val="19"/>
                <w:bdr w:val="none" w:color="auto" w:sz="0" w:space="0"/>
              </w:rPr>
              <w:t>信息内容</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pPr>
            <w:r>
              <w:rPr>
                <w:rFonts w:hint="eastAsia" w:ascii="宋体" w:hAnsi="宋体" w:eastAsia="宋体" w:cs="宋体"/>
                <w:i w:val="0"/>
                <w:iCs w:val="0"/>
                <w:caps w:val="0"/>
                <w:color w:val="000000"/>
                <w:spacing w:val="0"/>
                <w:sz w:val="19"/>
                <w:szCs w:val="19"/>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宋体" w:hAnsi="宋体" w:eastAsia="宋体" w:cs="宋体"/>
                <w:i w:val="0"/>
                <w:iCs w:val="0"/>
                <w:caps w:val="0"/>
                <w:color w:val="000000"/>
                <w:spacing w:val="0"/>
                <w:sz w:val="19"/>
                <w:szCs w:val="19"/>
                <w:bdr w:val="none" w:color="auto" w:sz="0" w:space="0"/>
              </w:rPr>
              <w:t>行政处罚</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宋体" w:cs="Helvetica"/>
                <w:i w:val="0"/>
                <w:iCs w:val="0"/>
                <w:caps w:val="0"/>
                <w:color w:val="111111"/>
                <w:spacing w:val="0"/>
                <w:sz w:val="21"/>
                <w:szCs w:val="21"/>
                <w:lang w:val="en-US" w:eastAsia="zh-CN"/>
              </w:rPr>
            </w:pPr>
            <w:r>
              <w:rPr>
                <w:rFonts w:hint="eastAsia" w:ascii="Helvetica" w:hAnsi="Helvetica" w:eastAsia="宋体" w:cs="Helvetica"/>
                <w:i w:val="0"/>
                <w:iCs w:val="0"/>
                <w:caps w:val="0"/>
                <w:color w:val="111111"/>
                <w:spacing w:val="0"/>
                <w:sz w:val="21"/>
                <w:szCs w:val="21"/>
                <w:lang w:val="en-US" w:eastAsia="zh-CN"/>
              </w:rPr>
              <w:t>13</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宋体" w:hAnsi="宋体" w:eastAsia="宋体" w:cs="宋体"/>
                <w:i w:val="0"/>
                <w:iCs w:val="0"/>
                <w:caps w:val="0"/>
                <w:color w:val="000000"/>
                <w:spacing w:val="0"/>
                <w:sz w:val="19"/>
                <w:szCs w:val="19"/>
                <w:bdr w:val="none" w:color="auto" w:sz="0" w:space="0"/>
              </w:rPr>
              <w:t>行政强制</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111111"/>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6" w:type="dxa"/>
            <w:gridSpan w:val="4"/>
            <w:tcBorders>
              <w:top w:val="nil"/>
              <w:left w:val="nil"/>
              <w:bottom w:val="nil"/>
              <w:right w:val="nil"/>
            </w:tcBorders>
            <w:shd w:val="clear" w:color="auto" w:fill="C6D9F1"/>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信息内容</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pPr>
            <w:r>
              <w:rPr>
                <w:rFonts w:hint="eastAsia" w:ascii="宋体" w:hAnsi="宋体" w:eastAsia="宋体" w:cs="宋体"/>
                <w:i w:val="0"/>
                <w:iCs w:val="0"/>
                <w:caps w:val="0"/>
                <w:color w:val="000000"/>
                <w:spacing w:val="0"/>
                <w:sz w:val="19"/>
                <w:szCs w:val="19"/>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 w:type="dxa"/>
            <w:tcBorders>
              <w:top w:val="nil"/>
              <w:left w:val="nil"/>
              <w:bottom w:val="nil"/>
              <w:right w:val="nil"/>
            </w:tcBorders>
            <w:shd w:val="clear" w:color="auto" w:fill="FFFFFF"/>
            <w:tcMar>
              <w:top w:w="0" w:type="dxa"/>
              <w:left w:w="60" w:type="dxa"/>
              <w:bottom w:w="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宋体" w:hAnsi="宋体" w:eastAsia="宋体" w:cs="宋体"/>
                <w:i w:val="0"/>
                <w:iCs w:val="0"/>
                <w:caps w:val="0"/>
                <w:color w:val="000000"/>
                <w:spacing w:val="0"/>
                <w:sz w:val="19"/>
                <w:szCs w:val="19"/>
                <w:bdr w:val="none" w:color="auto" w:sz="0" w:space="0"/>
              </w:rPr>
              <w:t>行政事业性收费</w:t>
            </w:r>
          </w:p>
        </w:tc>
        <w:tc>
          <w:tcPr>
            <w:tcW w:w="6" w:type="dxa"/>
            <w:gridSpan w:val="3"/>
            <w:tcBorders>
              <w:top w:val="nil"/>
              <w:left w:val="nil"/>
              <w:bottom w:val="nil"/>
              <w:right w:val="nil"/>
            </w:tcBorders>
            <w:shd w:val="clear" w:color="auto" w:fill="FFFFFF"/>
            <w:tcMar>
              <w:top w:w="0" w:type="dxa"/>
              <w:left w:w="60" w:type="dxa"/>
              <w:bottom w:w="0" w:type="dxa"/>
              <w:right w:w="60" w:type="dxa"/>
            </w:tcMar>
            <w:vAlign w:val="center"/>
          </w:tcPr>
          <w:p>
            <w:pPr>
              <w:keepNext w:val="0"/>
              <w:keepLines w:val="0"/>
              <w:widowControl/>
              <w:suppressLineNumbers w:val="0"/>
              <w:spacing w:line="23" w:lineRule="atLeast"/>
              <w:ind w:left="0" w:firstLine="0"/>
              <w:jc w:val="left"/>
              <w:rPr>
                <w:rFonts w:hint="default" w:ascii="Helvetica" w:hAnsi="Helvetica" w:eastAsia="Helvetica" w:cs="Helvetica"/>
                <w:i w:val="0"/>
                <w:iCs w:val="0"/>
                <w:caps w:val="0"/>
                <w:color w:val="111111"/>
                <w:spacing w:val="0"/>
                <w:sz w:val="21"/>
                <w:szCs w:val="21"/>
              </w:rPr>
            </w:pPr>
            <w:r>
              <w:rPr>
                <w:rFonts w:hint="default" w:ascii="Helvetica" w:hAnsi="Helvetica" w:eastAsia="Helvetica" w:cs="Helvetica"/>
                <w:i w:val="0"/>
                <w:iCs w:val="0"/>
                <w:caps w:val="0"/>
                <w:color w:val="111111"/>
                <w:spacing w:val="0"/>
                <w:kern w:val="0"/>
                <w:sz w:val="21"/>
                <w:szCs w:val="21"/>
                <w:bdr w:val="none" w:color="auto" w:sz="0" w:space="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Helvetica" w:hAnsi="Helvetica" w:eastAsia="Helvetica" w:cs="Helvetica"/>
          <w:i w:val="0"/>
          <w:iCs w:val="0"/>
          <w:caps w:val="0"/>
          <w:color w:val="111111"/>
          <w:spacing w:val="0"/>
          <w:sz w:val="27"/>
          <w:szCs w:val="27"/>
        </w:rPr>
      </w:pPr>
      <w:r>
        <w:rPr>
          <w:rFonts w:hint="eastAsia" w:ascii="宋体" w:hAnsi="宋体" w:eastAsia="宋体" w:cs="宋体"/>
          <w:i w:val="0"/>
          <w:iCs w:val="0"/>
          <w:caps w:val="0"/>
          <w:color w:val="111111"/>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Helvetica" w:hAnsi="Helvetica" w:eastAsia="Helvetica" w:cs="Helvetica"/>
          <w:i w:val="0"/>
          <w:iCs w:val="0"/>
          <w:caps w:val="0"/>
          <w:color w:val="111111"/>
          <w:spacing w:val="0"/>
          <w:sz w:val="27"/>
          <w:szCs w:val="27"/>
        </w:rPr>
      </w:pPr>
      <w:r>
        <w:rPr>
          <w:rFonts w:hint="eastAsia" w:ascii="仿宋_GB2312" w:hAnsi="Helvetica" w:eastAsia="仿宋_GB2312" w:cs="仿宋_GB2312"/>
          <w:i w:val="0"/>
          <w:iCs w:val="0"/>
          <w:caps w:val="0"/>
          <w:color w:val="111111"/>
          <w:spacing w:val="0"/>
          <w:sz w:val="31"/>
          <w:szCs w:val="31"/>
          <w:bdr w:val="none" w:color="auto" w:sz="0" w:space="0"/>
          <w:shd w:val="clear" w:fill="FFFFFF"/>
        </w:rPr>
        <w:t>三、收到和处理政府信息公开申请情况</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24"/>
        <w:gridCol w:w="1486"/>
        <w:gridCol w:w="1124"/>
        <w:gridCol w:w="763"/>
        <w:gridCol w:w="763"/>
        <w:gridCol w:w="763"/>
        <w:gridCol w:w="763"/>
        <w:gridCol w:w="763"/>
        <w:gridCol w:w="763"/>
        <w:gridCol w:w="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gridSpan w:val="3"/>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（本列数据的勾稽关系为：第一项加第二项之和，等于第三项加第四项之和）</w:t>
            </w:r>
          </w:p>
        </w:tc>
        <w:tc>
          <w:tcPr>
            <w:tcW w:w="6" w:type="dxa"/>
            <w:gridSpan w:val="7"/>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自然人</w:t>
            </w:r>
          </w:p>
        </w:tc>
        <w:tc>
          <w:tcPr>
            <w:tcW w:w="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法人或其他组织</w:t>
            </w:r>
          </w:p>
        </w:tc>
        <w:tc>
          <w:tcPr>
            <w:tcW w:w="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商业企业</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科研机构</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社会公益组织</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法律服务机构</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其他</w:t>
            </w: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宋体" w:hAnsi="宋体" w:eastAsia="宋体" w:cs="宋体"/>
                <w:i w:val="0"/>
                <w:iCs w:val="0"/>
                <w:caps w:val="0"/>
                <w:color w:val="111111"/>
                <w:spacing w:val="0"/>
                <w:sz w:val="19"/>
                <w:szCs w:val="19"/>
                <w:bdr w:val="none" w:color="auto" w:sz="0" w:space="0"/>
              </w:rPr>
              <w:t>一、本年新收政府信息公开申请数量</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宋体" w:hAnsi="宋体" w:eastAsia="宋体" w:cs="宋体"/>
                <w:i w:val="0"/>
                <w:iCs w:val="0"/>
                <w:caps w:val="0"/>
                <w:color w:val="111111"/>
                <w:spacing w:val="0"/>
                <w:sz w:val="19"/>
                <w:szCs w:val="19"/>
                <w:bdr w:val="none" w:color="auto" w:sz="0" w:space="0"/>
              </w:rPr>
              <w:t>二、上年结转政府信息公开申请数量</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三、本年度办理结果</w:t>
            </w:r>
          </w:p>
        </w:tc>
        <w:tc>
          <w:tcPr>
            <w:tcW w:w="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ascii="楷体" w:hAnsi="楷体" w:eastAsia="楷体" w:cs="楷体"/>
                <w:i w:val="0"/>
                <w:iCs w:val="0"/>
                <w:caps w:val="0"/>
                <w:color w:val="111111"/>
                <w:spacing w:val="0"/>
                <w:sz w:val="19"/>
                <w:szCs w:val="19"/>
                <w:bdr w:val="none" w:color="auto" w:sz="0" w:space="0"/>
              </w:rPr>
              <w:t>（一）予以公开</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（二）部分公开（区分处理的，只计这一情形，不计其他情形）</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（三）不予公开</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1.属于国家秘密</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2.其他法律行政法规禁止公开</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3.危及“三安全一稳定”</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4.保护第三方合法权益</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5.属于三类内部事务信息</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6.属于四类过程性信息</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7.属于行政执法案卷</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8.属于行政查询事项</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（四）无法提供</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1.本机关不掌握相关政府信息</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2.没有现成信息需要另行制作</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3.补正后申请内容仍不明确</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（五）不予处理</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1.信访举报投诉类申请</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2.重复申请</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3.要求提供公开出版物</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4.无正当理由大量反复申请</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5.要求行政机关确认或重新出具已获取信息</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（六）其他处理</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楷体" w:hAnsi="楷体" w:eastAsia="楷体" w:cs="楷体"/>
                <w:i w:val="0"/>
                <w:iCs w:val="0"/>
                <w:caps w:val="0"/>
                <w:color w:val="111111"/>
                <w:spacing w:val="0"/>
                <w:sz w:val="19"/>
                <w:szCs w:val="19"/>
                <w:bdr w:val="none" w:color="auto" w:sz="0" w:space="0"/>
              </w:rPr>
              <w:t>（七）总计</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23" w:lineRule="atLeast"/>
              <w:ind w:left="0" w:right="0"/>
              <w:jc w:val="both"/>
            </w:pPr>
            <w:r>
              <w:rPr>
                <w:rFonts w:hint="eastAsia" w:ascii="宋体" w:hAnsi="宋体" w:eastAsia="宋体" w:cs="宋体"/>
                <w:i w:val="0"/>
                <w:iCs w:val="0"/>
                <w:caps w:val="0"/>
                <w:color w:val="111111"/>
                <w:spacing w:val="0"/>
                <w:sz w:val="19"/>
                <w:szCs w:val="19"/>
                <w:bdr w:val="none" w:color="auto" w:sz="0" w:space="0"/>
              </w:rPr>
              <w:t>四、结转下年度继续办理</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Helvetica" w:hAnsi="Helvetica" w:eastAsia="Helvetica" w:cs="Helvetica"/>
          <w:i w:val="0"/>
          <w:iCs w:val="0"/>
          <w:caps w:val="0"/>
          <w:color w:val="111111"/>
          <w:spacing w:val="0"/>
          <w:sz w:val="27"/>
          <w:szCs w:val="27"/>
        </w:rPr>
      </w:pPr>
      <w:r>
        <w:rPr>
          <w:rFonts w:hint="eastAsia" w:ascii="仿宋_GB2312" w:hAnsi="Helvetica" w:eastAsia="仿宋_GB2312" w:cs="仿宋_GB2312"/>
          <w:i w:val="0"/>
          <w:iCs w:val="0"/>
          <w:caps w:val="0"/>
          <w:color w:val="111111"/>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Helvetica" w:hAnsi="Helvetica" w:eastAsia="Helvetica" w:cs="Helvetica"/>
          <w:i w:val="0"/>
          <w:iCs w:val="0"/>
          <w:caps w:val="0"/>
          <w:color w:val="111111"/>
          <w:spacing w:val="0"/>
          <w:sz w:val="27"/>
          <w:szCs w:val="27"/>
        </w:rPr>
      </w:pPr>
      <w:r>
        <w:rPr>
          <w:rFonts w:hint="eastAsia" w:ascii="仿宋_GB2312" w:hAnsi="Helvetica" w:eastAsia="仿宋_GB2312" w:cs="仿宋_GB2312"/>
          <w:i w:val="0"/>
          <w:iCs w:val="0"/>
          <w:caps w:val="0"/>
          <w:color w:val="111111"/>
          <w:spacing w:val="0"/>
          <w:sz w:val="31"/>
          <w:szCs w:val="31"/>
          <w:bdr w:val="none" w:color="auto" w:sz="0" w:space="0"/>
          <w:shd w:val="clear" w:fill="FFFFFF"/>
        </w:rPr>
        <w:t>四、政府信息公开行政复议、行政诉讼情况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default" w:ascii="Helvetica" w:hAnsi="Helvetica" w:eastAsia="Helvetica" w:cs="Helvetica"/>
          <w:i w:val="0"/>
          <w:iCs w:val="0"/>
          <w:caps w:val="0"/>
          <w:color w:val="111111"/>
          <w:spacing w:val="0"/>
          <w:sz w:val="27"/>
          <w:szCs w:val="27"/>
        </w:rPr>
      </w:pPr>
      <w:r>
        <w:rPr>
          <w:rFonts w:hint="eastAsia" w:ascii="宋体" w:hAnsi="宋体" w:eastAsia="宋体" w:cs="宋体"/>
          <w:i w:val="0"/>
          <w:iCs w:val="0"/>
          <w:caps w:val="0"/>
          <w:color w:val="111111"/>
          <w:spacing w:val="0"/>
          <w:sz w:val="24"/>
          <w:szCs w:val="24"/>
          <w:bdr w:val="none" w:color="auto" w:sz="0" w:space="0"/>
          <w:shd w:val="clear" w:fill="FFFFFF"/>
        </w:rPr>
        <w:t> </w:t>
      </w:r>
    </w:p>
    <w:tbl>
      <w:tblPr>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86"/>
        <w:gridCol w:w="586"/>
        <w:gridCol w:w="586"/>
        <w:gridCol w:w="586"/>
        <w:gridCol w:w="586"/>
        <w:gridCol w:w="586"/>
        <w:gridCol w:w="586"/>
        <w:gridCol w:w="586"/>
        <w:gridCol w:w="586"/>
        <w:gridCol w:w="726"/>
        <w:gridCol w:w="587"/>
        <w:gridCol w:w="587"/>
        <w:gridCol w:w="727"/>
        <w:gridCol w:w="587"/>
        <w:gridCol w:w="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行政复议</w:t>
            </w:r>
          </w:p>
        </w:tc>
        <w:tc>
          <w:tcPr>
            <w:tcW w:w="6"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结果维持</w:t>
            </w:r>
          </w:p>
        </w:tc>
        <w:tc>
          <w:tcPr>
            <w:tcW w:w="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结果纠正</w:t>
            </w:r>
          </w:p>
        </w:tc>
        <w:tc>
          <w:tcPr>
            <w:tcW w:w="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其他结果</w:t>
            </w:r>
          </w:p>
        </w:tc>
        <w:tc>
          <w:tcPr>
            <w:tcW w:w="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尚未审结</w:t>
            </w:r>
          </w:p>
        </w:tc>
        <w:tc>
          <w:tcPr>
            <w:tcW w:w="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总计</w:t>
            </w:r>
          </w:p>
        </w:tc>
        <w:tc>
          <w:tcPr>
            <w:tcW w:w="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未经复议直接起诉</w:t>
            </w:r>
          </w:p>
        </w:tc>
        <w:tc>
          <w:tcPr>
            <w:tcW w:w="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default" w:ascii="Helvetica" w:hAnsi="Helvetica" w:eastAsia="Helvetica" w:cs="Helvetica"/>
                <w:i w:val="0"/>
                <w:iCs w:val="0"/>
                <w:caps w:val="0"/>
                <w:color w:val="111111"/>
                <w:spacing w:val="0"/>
                <w:sz w:val="21"/>
                <w:szCs w:val="21"/>
              </w:rPr>
            </w:pP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结果维持</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结果纠正</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其他结果</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尚未审结</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总计</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结果维持</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结果纠正</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其他结果</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尚未审结</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 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宋体" w:cs="Calibri"/>
                <w:i w:val="0"/>
                <w:iCs w:val="0"/>
                <w:caps w:val="0"/>
                <w:color w:val="111111"/>
                <w:spacing w:val="0"/>
                <w:sz w:val="19"/>
                <w:szCs w:val="19"/>
                <w:bdr w:val="none" w:color="auto" w:sz="0" w:space="0"/>
              </w:rPr>
              <w:t>0</w:t>
            </w:r>
            <w:r>
              <w:rPr>
                <w:rFonts w:hint="default" w:ascii="Calibri" w:hAnsi="Calibri" w:eastAsia="Helvetica" w:cs="Calibri"/>
                <w:i w:val="0"/>
                <w:iCs w:val="0"/>
                <w:caps w:val="0"/>
                <w:color w:val="111111"/>
                <w:spacing w:val="0"/>
                <w:sz w:val="19"/>
                <w:szCs w:val="19"/>
                <w:bdr w:val="none" w:color="auto" w:sz="0" w:space="0"/>
              </w:rPr>
              <w:t> </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eastAsia" w:ascii="宋体" w:hAnsi="宋体" w:eastAsia="宋体" w:cs="宋体"/>
                <w:i w:val="0"/>
                <w:iCs w:val="0"/>
                <w:caps w:val="0"/>
                <w:color w:val="111111"/>
                <w:spacing w:val="0"/>
                <w:sz w:val="19"/>
                <w:szCs w:val="19"/>
                <w:bdr w:val="none" w:color="auto" w:sz="0" w:space="0"/>
              </w:rPr>
              <w:t> 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3" w:lineRule="atLeast"/>
              <w:ind w:left="0" w:right="0"/>
              <w:jc w:val="center"/>
            </w:pPr>
            <w:r>
              <w:rPr>
                <w:rFonts w:hint="default" w:ascii="Calibri" w:hAnsi="Calibri" w:eastAsia="Helvetica" w:cs="Calibri"/>
                <w:i w:val="0"/>
                <w:iCs w:val="0"/>
                <w:caps w:val="0"/>
                <w:color w:val="111111"/>
                <w:spacing w:val="0"/>
                <w:sz w:val="19"/>
                <w:szCs w:val="19"/>
                <w:bdr w:val="none" w:color="auto" w:sz="0" w:space="0"/>
              </w:rPr>
              <w:t> </w:t>
            </w:r>
            <w:r>
              <w:rPr>
                <w:rFonts w:hint="default" w:ascii="Calibri" w:hAnsi="Calibri" w:eastAsia="宋体" w:cs="Calibri"/>
                <w:i w:val="0"/>
                <w:iCs w:val="0"/>
                <w:caps w:val="0"/>
                <w:color w:val="111111"/>
                <w:spacing w:val="0"/>
                <w:sz w:val="19"/>
                <w:szCs w:val="19"/>
                <w:bdr w:val="none" w:color="auto" w:sz="0" w:space="0"/>
              </w:rPr>
              <w:t>0</w:t>
            </w:r>
          </w:p>
        </w:tc>
        <w:tc>
          <w:tcPr>
            <w:tcW w:w="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pPr>
            <w:r>
              <w:rPr>
                <w:rFonts w:hint="eastAsia" w:ascii="宋体" w:hAnsi="宋体" w:eastAsia="宋体" w:cs="宋体"/>
                <w:i w:val="0"/>
                <w:iCs w:val="0"/>
                <w:caps w:val="0"/>
                <w:color w:val="111111"/>
                <w:spacing w:val="0"/>
                <w:sz w:val="24"/>
                <w:szCs w:val="24"/>
                <w:bdr w:val="none" w:color="auto" w:sz="0" w:space="0"/>
              </w:rPr>
              <w:t>0</w:t>
            </w:r>
          </w:p>
        </w:tc>
      </w:tr>
    </w:tbl>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五、政府信息公开工作存在的主要问题及改进情况</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我局牢牢坚持“应公开尽公开”原则，通过广泛开展法律法规政策宣传、规范主动公开行政处罚程序等方式，不断提升政务公开工作水平和综合行政执法的便民实效，取得了良好效果。但是，对照国务院《政府信息公开条例》和省、市、区关于政务公开工作的部署，特别是疫情防控常态化大背景下做好各项工作、保障经济社会稳定发展的新形势和新要求，还存在以下问题：一是主动公开的水平较低。围绕本部门本领域“人财事”常规性内容公开较多，解释法律法规政策、特别是以案释法较少，运用视频、卡通等新形式开展政务公开的尝试较少。二是政务公开的意识较低。各项主要业务工作开展过程中，履行政务公开要求的主动意识有待提升，政务公开工作队伍力量薄弱，专业性不足，业务培训较少。</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我局将努力提升政务公开工作水平，围绕城市管理工作的新任务新要求，重点做好政务公开制度调整完善和配套的政务公开工作；围绕综合执法队伍能力素质建设的新形势新标准，重点做好政务公开队伍建设和业务培训；让综合执法部门政务公开工作体现更多的便民惠企社会效益。</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六、</w:t>
      </w:r>
      <w:r>
        <w:rPr>
          <w:rFonts w:hint="eastAsia" w:ascii="仿宋_GB2312" w:hAnsi="仿宋_GB2312" w:eastAsia="仿宋_GB2312" w:cs="仿宋_GB2312"/>
          <w:sz w:val="28"/>
          <w:szCs w:val="28"/>
        </w:rPr>
        <w:t>其他需要报告的事项</w:t>
      </w:r>
    </w:p>
    <w:p>
      <w:pPr>
        <w:keepNext w:val="0"/>
        <w:keepLines w:val="0"/>
        <w:pageBreakBefore w:val="0"/>
        <w:widowControl/>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本年度我局无其他需报告事项。</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白银市白银区城市管理综合执法局</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2021年1</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日</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28"/>
          <w:szCs w:val="28"/>
        </w:rPr>
      </w:pPr>
    </w:p>
    <w:sectPr>
      <w:pgSz w:w="11906" w:h="16838"/>
      <w:pgMar w:top="2098" w:right="1474" w:bottom="1985"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C688E"/>
    <w:rsid w:val="0C022BE0"/>
    <w:rsid w:val="18AC6522"/>
    <w:rsid w:val="1CC6297C"/>
    <w:rsid w:val="29CB39D7"/>
    <w:rsid w:val="3F17306F"/>
    <w:rsid w:val="3FAE6E04"/>
    <w:rsid w:val="60C6795C"/>
    <w:rsid w:val="675A5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paragraph" w:styleId="2">
    <w:name w:val="heading 1"/>
    <w:basedOn w:val="1"/>
    <w:next w:val="1"/>
    <w:qFormat/>
    <w:uiPriority w:val="9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2021-12-21T02:04:00Z</dcterms:created>
  <dc:creator>Administrator.USER-20190313MA</dc:creator>
  <cp:lastModifiedBy>微信用户</cp:lastModifiedBy>
  <cp:lastPrinted>2021-12-24T02:39:00Z</cp:lastPrinted>
  <dcterms:modified xsi:type="dcterms:W3CDTF">2022-01-21T02:40:05Z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6C24761CC00348499FB9338C51CCBFE3</vt:lpwstr>
  </property>
</Properties>
</file>