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color w:val="000000"/>
          <w:kern w:val="0"/>
          <w:sz w:val="32"/>
          <w:szCs w:val="32"/>
          <w:u w:val="none"/>
          <w:lang w:eastAsia="zh-CN" w:bidi="ar"/>
        </w:rPr>
      </w:pPr>
      <w:r>
        <w:rPr>
          <w:rFonts w:hint="eastAsia" w:ascii="黑体" w:hAnsi="黑体" w:eastAsia="黑体" w:cs="黑体"/>
          <w:i w:val="0"/>
          <w:color w:val="000000"/>
          <w:kern w:val="0"/>
          <w:sz w:val="32"/>
          <w:szCs w:val="32"/>
          <w:u w:val="none"/>
          <w:lang w:eastAsia="zh-CN" w:bidi="ar"/>
        </w:rPr>
        <w:t>附件</w:t>
      </w: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白银区基本医疗保险定点零售药店2021年度综合考核评分表</w:t>
      </w:r>
    </w:p>
    <w:p>
      <w:pPr>
        <w:pStyle w:val="2"/>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定点零售药店名称：</w:t>
      </w:r>
      <w:r>
        <w:rPr>
          <w:rFonts w:hint="eastAsia" w:ascii="仿宋" w:hAnsi="仿宋" w:eastAsia="仿宋" w:cs="仿宋"/>
          <w:b w:val="0"/>
          <w:bCs w:val="0"/>
          <w:sz w:val="32"/>
          <w:szCs w:val="32"/>
          <w:u w:val="single"/>
          <w:lang w:val="en-US" w:eastAsia="zh-CN"/>
        </w:rPr>
        <w:t xml:space="preserve">（盖章）             </w:t>
      </w:r>
      <w:r>
        <w:rPr>
          <w:rFonts w:hint="eastAsia" w:ascii="仿宋" w:hAnsi="仿宋" w:eastAsia="仿宋" w:cs="仿宋"/>
          <w:b w:val="0"/>
          <w:bCs w:val="0"/>
          <w:sz w:val="32"/>
          <w:szCs w:val="32"/>
          <w:lang w:val="en-US" w:eastAsia="zh-CN"/>
        </w:rPr>
        <w:t xml:space="preserve">                                 年    月    日</w:t>
      </w:r>
    </w:p>
    <w:tbl>
      <w:tblPr>
        <w:tblStyle w:val="8"/>
        <w:tblW w:w="14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365"/>
        <w:gridCol w:w="6046"/>
        <w:gridCol w:w="1275"/>
        <w:gridCol w:w="3659"/>
        <w:gridCol w:w="1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9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序号</w:t>
            </w:r>
          </w:p>
        </w:tc>
        <w:tc>
          <w:tcPr>
            <w:tcW w:w="136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考核项目</w:t>
            </w:r>
          </w:p>
        </w:tc>
        <w:tc>
          <w:tcPr>
            <w:tcW w:w="604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考核内容</w:t>
            </w:r>
          </w:p>
        </w:tc>
        <w:tc>
          <w:tcPr>
            <w:tcW w:w="127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标准分值</w:t>
            </w:r>
          </w:p>
        </w:tc>
        <w:tc>
          <w:tcPr>
            <w:tcW w:w="36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扣 分 标 准</w:t>
            </w:r>
          </w:p>
        </w:tc>
        <w:tc>
          <w:tcPr>
            <w:tcW w:w="1321"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考核得分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6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仿宋" w:hAnsi="仿宋" w:eastAsia="仿宋" w:cs="仿宋"/>
                <w:color w:val="000000"/>
                <w:sz w:val="24"/>
                <w:szCs w:val="24"/>
              </w:rPr>
            </w:pPr>
            <w:r>
              <w:rPr>
                <w:rFonts w:hint="eastAsia" w:ascii="仿宋" w:hAnsi="仿宋" w:eastAsia="仿宋" w:cs="仿宋"/>
                <w:b/>
                <w:bCs/>
                <w:color w:val="000000"/>
                <w:kern w:val="0"/>
                <w:sz w:val="32"/>
                <w:szCs w:val="32"/>
                <w:lang w:val="en-US" w:eastAsia="zh-CN" w:bidi="ar"/>
              </w:rPr>
              <w:t>（一）</w:t>
            </w:r>
            <w:r>
              <w:rPr>
                <w:rFonts w:hint="eastAsia" w:ascii="仿宋" w:hAnsi="仿宋" w:eastAsia="仿宋" w:cs="仿宋"/>
                <w:b/>
                <w:bCs/>
                <w:color w:val="000000"/>
                <w:kern w:val="0"/>
                <w:sz w:val="32"/>
                <w:szCs w:val="32"/>
                <w:lang w:bidi="ar"/>
              </w:rPr>
              <w:br w:type="textWrapping"/>
            </w:r>
            <w:r>
              <w:rPr>
                <w:rFonts w:hint="eastAsia" w:ascii="仿宋" w:hAnsi="仿宋" w:eastAsia="仿宋" w:cs="仿宋"/>
                <w:b/>
                <w:bCs/>
                <w:color w:val="000000"/>
                <w:kern w:val="0"/>
                <w:sz w:val="32"/>
                <w:szCs w:val="32"/>
                <w:lang w:bidi="ar"/>
              </w:rPr>
              <w:t>基础</w:t>
            </w:r>
            <w:r>
              <w:rPr>
                <w:rFonts w:hint="eastAsia" w:ascii="仿宋" w:hAnsi="仿宋" w:eastAsia="仿宋" w:cs="仿宋"/>
                <w:b/>
                <w:bCs/>
                <w:color w:val="000000"/>
                <w:kern w:val="0"/>
                <w:sz w:val="32"/>
                <w:szCs w:val="32"/>
                <w:lang w:bidi="ar"/>
              </w:rPr>
              <w:br w:type="textWrapping"/>
            </w:r>
            <w:r>
              <w:rPr>
                <w:rFonts w:hint="eastAsia" w:ascii="仿宋" w:hAnsi="仿宋" w:eastAsia="仿宋" w:cs="仿宋"/>
                <w:b/>
                <w:bCs/>
                <w:color w:val="000000"/>
                <w:kern w:val="0"/>
                <w:sz w:val="32"/>
                <w:szCs w:val="32"/>
                <w:lang w:bidi="ar"/>
              </w:rPr>
              <w:t>管理</w:t>
            </w:r>
            <w:r>
              <w:rPr>
                <w:rFonts w:hint="eastAsia" w:ascii="仿宋" w:hAnsi="仿宋" w:eastAsia="仿宋" w:cs="仿宋"/>
                <w:b/>
                <w:bCs/>
                <w:color w:val="000000"/>
                <w:kern w:val="0"/>
                <w:sz w:val="32"/>
                <w:szCs w:val="32"/>
                <w:lang w:bidi="ar"/>
              </w:rPr>
              <w:br w:type="textWrapping"/>
            </w:r>
            <w:r>
              <w:rPr>
                <w:rFonts w:hint="eastAsia" w:ascii="仿宋" w:hAnsi="仿宋" w:eastAsia="仿宋" w:cs="仿宋"/>
                <w:b/>
                <w:bCs/>
                <w:color w:val="000000"/>
                <w:kern w:val="0"/>
                <w:sz w:val="32"/>
                <w:szCs w:val="32"/>
                <w:lang w:bidi="ar"/>
              </w:rPr>
              <w:t>（</w:t>
            </w:r>
            <w:r>
              <w:rPr>
                <w:rFonts w:hint="eastAsia" w:ascii="仿宋" w:hAnsi="仿宋" w:eastAsia="仿宋" w:cs="仿宋"/>
                <w:b/>
                <w:bCs/>
                <w:color w:val="000000"/>
                <w:kern w:val="0"/>
                <w:sz w:val="32"/>
                <w:szCs w:val="32"/>
                <w:lang w:val="en-US" w:eastAsia="zh-CN" w:bidi="ar"/>
              </w:rPr>
              <w:t>20</w:t>
            </w:r>
            <w:r>
              <w:rPr>
                <w:rFonts w:hint="eastAsia" w:ascii="仿宋" w:hAnsi="仿宋" w:eastAsia="仿宋" w:cs="仿宋"/>
                <w:b/>
                <w:bCs/>
                <w:color w:val="000000"/>
                <w:kern w:val="0"/>
                <w:sz w:val="32"/>
                <w:szCs w:val="32"/>
                <w:lang w:bidi="ar"/>
              </w:rPr>
              <w:t>分）</w:t>
            </w: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在药店醒目位置公布医保监督投诉举报电话</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配合医保部门及时处理相关投诉。</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未公布扣</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分</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收到投诉事件未处理的扣1分。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设置专栏宣传医保政策</w:t>
            </w:r>
            <w:r>
              <w:rPr>
                <w:rFonts w:hint="eastAsia" w:ascii="仿宋" w:hAnsi="仿宋" w:eastAsia="仿宋" w:cs="仿宋"/>
                <w:color w:val="000000"/>
                <w:kern w:val="0"/>
                <w:sz w:val="24"/>
                <w:szCs w:val="24"/>
                <w:lang w:val="en-US" w:eastAsia="zh-CN" w:bidi="ar"/>
              </w:rPr>
              <w:t>。</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2分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未设置专栏扣</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分</w:t>
            </w:r>
            <w:r>
              <w:rPr>
                <w:rFonts w:hint="eastAsia" w:ascii="仿宋" w:hAnsi="仿宋" w:eastAsia="仿宋" w:cs="仿宋"/>
                <w:color w:val="000000"/>
                <w:kern w:val="0"/>
                <w:sz w:val="24"/>
                <w:szCs w:val="24"/>
                <w:lang w:val="en-US" w:eastAsia="zh-CN" w:bidi="ar"/>
              </w:rPr>
              <w:t>。</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变更药店名称、经营地址、法定代表人（企业负责人）、营业范围等信息，及时向辖区内医保局备案。</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2分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未进行备案扣2分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为参保人提供社保卡个人账户信息查询、修改密码、政策咨询、提醒慢病患者按时年审等服务。</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color w:val="000000"/>
                <w:kern w:val="0"/>
                <w:sz w:val="28"/>
                <w:szCs w:val="28"/>
                <w:lang w:bidi="ar"/>
              </w:rPr>
              <w:t>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未提供相关服务每少1项扣1分。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在药店醒目位置悬挂医保定点标识</w:t>
            </w:r>
            <w:r>
              <w:rPr>
                <w:rFonts w:hint="eastAsia" w:ascii="仿宋" w:hAnsi="仿宋" w:eastAsia="仿宋" w:cs="仿宋"/>
                <w:color w:val="000000"/>
                <w:kern w:val="0"/>
                <w:sz w:val="24"/>
                <w:szCs w:val="24"/>
                <w:lang w:eastAsia="zh-CN" w:bidi="ar"/>
              </w:rPr>
              <w:t>。</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color w:val="000000"/>
                <w:kern w:val="0"/>
                <w:sz w:val="28"/>
                <w:szCs w:val="28"/>
                <w:lang w:bidi="ar"/>
              </w:rPr>
              <w:t>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未悬挂定点标识扣3分。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纳入职工</w:t>
            </w:r>
            <w:r>
              <w:rPr>
                <w:rFonts w:hint="eastAsia" w:ascii="仿宋" w:hAnsi="仿宋" w:eastAsia="仿宋" w:cs="仿宋"/>
                <w:color w:val="000000"/>
                <w:kern w:val="0"/>
                <w:sz w:val="24"/>
                <w:szCs w:val="24"/>
                <w:lang w:bidi="ar"/>
              </w:rPr>
              <w:t>门诊慢特病</w:t>
            </w:r>
            <w:r>
              <w:rPr>
                <w:rFonts w:hint="eastAsia" w:ascii="仿宋" w:hAnsi="仿宋" w:eastAsia="仿宋" w:cs="仿宋"/>
                <w:color w:val="000000"/>
                <w:kern w:val="0"/>
                <w:sz w:val="24"/>
                <w:szCs w:val="24"/>
                <w:lang w:val="en-US" w:eastAsia="zh-CN" w:bidi="ar"/>
              </w:rPr>
              <w:t>定点或国家谈判药品</w:t>
            </w:r>
            <w:r>
              <w:rPr>
                <w:rFonts w:hint="eastAsia" w:ascii="仿宋" w:hAnsi="仿宋" w:eastAsia="仿宋" w:cs="仿宋"/>
                <w:color w:val="000000"/>
                <w:kern w:val="0"/>
                <w:sz w:val="24"/>
                <w:szCs w:val="24"/>
                <w:lang w:bidi="ar"/>
              </w:rPr>
              <w:t>定点</w:t>
            </w:r>
            <w:r>
              <w:rPr>
                <w:rFonts w:hint="eastAsia" w:ascii="仿宋" w:hAnsi="仿宋" w:eastAsia="仿宋" w:cs="仿宋"/>
                <w:color w:val="000000"/>
                <w:kern w:val="0"/>
                <w:sz w:val="24"/>
                <w:szCs w:val="24"/>
                <w:lang w:val="en-US" w:eastAsia="zh-CN" w:bidi="ar"/>
              </w:rPr>
              <w:t>资格的门店</w:t>
            </w:r>
            <w:r>
              <w:rPr>
                <w:rFonts w:hint="eastAsia" w:ascii="仿宋" w:hAnsi="仿宋" w:eastAsia="仿宋" w:cs="仿宋"/>
                <w:color w:val="000000"/>
                <w:kern w:val="0"/>
                <w:sz w:val="24"/>
                <w:szCs w:val="24"/>
                <w:lang w:eastAsia="zh-CN" w:bidi="ar"/>
              </w:rPr>
              <w:t>在显著位置悬挂</w:t>
            </w:r>
            <w:r>
              <w:rPr>
                <w:rFonts w:hint="eastAsia" w:ascii="仿宋" w:hAnsi="仿宋" w:eastAsia="仿宋" w:cs="仿宋"/>
                <w:color w:val="000000"/>
                <w:kern w:val="0"/>
                <w:sz w:val="24"/>
                <w:szCs w:val="24"/>
                <w:lang w:val="en-US" w:eastAsia="zh-CN" w:bidi="ar"/>
              </w:rPr>
              <w:t>相应</w:t>
            </w:r>
            <w:r>
              <w:rPr>
                <w:rFonts w:hint="eastAsia" w:ascii="仿宋" w:hAnsi="仿宋" w:eastAsia="仿宋" w:cs="仿宋"/>
                <w:color w:val="000000"/>
                <w:kern w:val="0"/>
                <w:sz w:val="24"/>
                <w:szCs w:val="24"/>
                <w:lang w:eastAsia="zh-CN" w:bidi="ar"/>
              </w:rPr>
              <w:t>标识。</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未悬挂定点标识扣3分。非</w:t>
            </w:r>
            <w:r>
              <w:rPr>
                <w:rFonts w:hint="eastAsia" w:ascii="仿宋" w:hAnsi="仿宋" w:eastAsia="仿宋" w:cs="仿宋"/>
                <w:color w:val="000000"/>
                <w:kern w:val="0"/>
                <w:sz w:val="24"/>
                <w:szCs w:val="24"/>
                <w:lang w:bidi="ar"/>
              </w:rPr>
              <w:t>门诊慢特病</w:t>
            </w:r>
            <w:r>
              <w:rPr>
                <w:rFonts w:hint="eastAsia" w:ascii="仿宋" w:hAnsi="仿宋" w:eastAsia="仿宋" w:cs="仿宋"/>
                <w:color w:val="000000"/>
                <w:kern w:val="0"/>
                <w:sz w:val="24"/>
                <w:szCs w:val="24"/>
                <w:lang w:val="en-US" w:eastAsia="zh-CN" w:bidi="ar"/>
              </w:rPr>
              <w:t>或谈判药品</w:t>
            </w:r>
            <w:r>
              <w:rPr>
                <w:rFonts w:hint="eastAsia" w:ascii="仿宋" w:hAnsi="仿宋" w:eastAsia="仿宋" w:cs="仿宋"/>
                <w:color w:val="000000"/>
                <w:kern w:val="0"/>
                <w:sz w:val="24"/>
                <w:szCs w:val="24"/>
                <w:lang w:bidi="ar"/>
              </w:rPr>
              <w:t>定点</w:t>
            </w:r>
            <w:r>
              <w:rPr>
                <w:rFonts w:hint="eastAsia" w:ascii="仿宋" w:hAnsi="仿宋" w:eastAsia="仿宋" w:cs="仿宋"/>
                <w:color w:val="000000"/>
                <w:kern w:val="0"/>
                <w:sz w:val="24"/>
                <w:szCs w:val="24"/>
                <w:lang w:val="en-US" w:eastAsia="zh-CN" w:bidi="ar"/>
              </w:rPr>
              <w:t>药店不扣分。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营业时间内至少有一名执业药师在岗。</w:t>
            </w:r>
          </w:p>
        </w:tc>
        <w:tc>
          <w:tcPr>
            <w:tcW w:w="1275" w:type="dxa"/>
            <w:tcBorders>
              <w:tl2br w:val="nil"/>
              <w:tr2bl w:val="nil"/>
            </w:tcBorders>
            <w:shd w:val="clear" w:color="auto" w:fill="auto"/>
            <w:tcMar>
              <w:top w:w="15" w:type="dxa"/>
              <w:left w:w="15" w:type="dxa"/>
              <w:right w:w="15" w:type="dxa"/>
            </w:tcMar>
            <w:vAlign w:val="bottom"/>
          </w:tcPr>
          <w:p>
            <w:pPr>
              <w:widowControl/>
              <w:spacing w:line="360" w:lineRule="exact"/>
              <w:jc w:val="center"/>
              <w:textAlignment w:val="bottom"/>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both"/>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执业药师不在岗扣2分。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具有符合医保协议管理要求的医保药品管理制度、财务管理制度、医保统计信息管理制度和医保费用结算制度。</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未建立相关制度的每少1项制度扣1分，扣完为止</w:t>
            </w:r>
            <w:r>
              <w:rPr>
                <w:rFonts w:hint="eastAsia" w:ascii="仿宋" w:hAnsi="仿宋" w:eastAsia="仿宋" w:cs="仿宋"/>
                <w:color w:val="000000"/>
                <w:kern w:val="0"/>
                <w:sz w:val="24"/>
                <w:szCs w:val="24"/>
                <w:lang w:bidi="ar"/>
              </w:rPr>
              <w:t>。</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w:t>
            </w:r>
          </w:p>
        </w:tc>
        <w:tc>
          <w:tcPr>
            <w:tcW w:w="1365" w:type="dxa"/>
            <w:vMerge w:val="restart"/>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b/>
                <w:bCs/>
                <w:color w:val="000000"/>
                <w:kern w:val="0"/>
                <w:sz w:val="32"/>
                <w:szCs w:val="32"/>
                <w:lang w:val="en-US" w:eastAsia="zh-CN" w:bidi="ar"/>
              </w:rPr>
            </w:pPr>
          </w:p>
          <w:p>
            <w:pPr>
              <w:widowControl/>
              <w:spacing w:line="360" w:lineRule="exact"/>
              <w:jc w:val="center"/>
              <w:textAlignment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val="en-US" w:eastAsia="zh-CN" w:bidi="ar"/>
              </w:rPr>
              <w:t>（二）</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从业</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人员</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仿宋" w:hAnsi="仿宋" w:eastAsia="仿宋" w:cs="仿宋"/>
                <w:color w:val="000000"/>
                <w:sz w:val="24"/>
                <w:szCs w:val="24"/>
              </w:rPr>
            </w:pPr>
            <w:r>
              <w:rPr>
                <w:rFonts w:hint="eastAsia" w:ascii="仿宋" w:hAnsi="仿宋" w:eastAsia="仿宋" w:cs="仿宋"/>
                <w:b/>
                <w:bCs/>
                <w:color w:val="000000"/>
                <w:kern w:val="0"/>
                <w:sz w:val="32"/>
                <w:szCs w:val="32"/>
                <w:lang w:val="en-US" w:eastAsia="zh-CN" w:bidi="ar"/>
              </w:rPr>
              <w:t>管理</w:t>
            </w:r>
            <w:r>
              <w:rPr>
                <w:rFonts w:hint="eastAsia" w:ascii="仿宋" w:hAnsi="仿宋" w:eastAsia="仿宋" w:cs="仿宋"/>
                <w:b/>
                <w:bCs/>
                <w:color w:val="000000"/>
                <w:kern w:val="0"/>
                <w:sz w:val="32"/>
                <w:szCs w:val="32"/>
                <w:lang w:bidi="ar"/>
              </w:rPr>
              <w:t xml:space="preserve">      (</w:t>
            </w:r>
            <w:r>
              <w:rPr>
                <w:rFonts w:hint="eastAsia" w:ascii="仿宋" w:hAnsi="仿宋" w:eastAsia="仿宋" w:cs="仿宋"/>
                <w:b/>
                <w:bCs/>
                <w:color w:val="000000"/>
                <w:kern w:val="0"/>
                <w:sz w:val="32"/>
                <w:szCs w:val="32"/>
                <w:lang w:val="en-US" w:eastAsia="zh-CN" w:bidi="ar"/>
              </w:rPr>
              <w:t>10</w:t>
            </w:r>
            <w:r>
              <w:rPr>
                <w:rFonts w:hint="eastAsia" w:ascii="仿宋" w:hAnsi="仿宋" w:eastAsia="仿宋" w:cs="仿宋"/>
                <w:b/>
                <w:bCs/>
                <w:color w:val="000000"/>
                <w:kern w:val="0"/>
                <w:sz w:val="32"/>
                <w:szCs w:val="32"/>
                <w:lang w:bidi="ar"/>
              </w:rPr>
              <w:t>分)</w:t>
            </w: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内部管理机构健全，有专人负责医保事务，分工明确，积极主动配合医保部门工作安排。</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无专人负责扣2分，不能积极配合医保部门工作扣3分。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按时参加医保部门组织的政策业务培训；连锁药店对员工开展医保业务培训，培训档案资料齐全。</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未参加医保部门培训扣1分，连锁药店未组织员工培训扣3分。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按要求配备执业药师并注册在该药店，公示执业药师、药师信息。执业药师提供用药指导、咨询等服务。</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未注册扣1分，未公示扣1分，未履行相关职责的扣1分.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依法参加基本医疗保险，按时足额为全体工作人员缴纳基本医疗保险费。</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未按时足额缴纳医保的扣2分。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136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药品</w:t>
            </w:r>
            <w:r>
              <w:rPr>
                <w:rFonts w:hint="eastAsia" w:ascii="仿宋" w:hAnsi="仿宋" w:eastAsia="仿宋" w:cs="仿宋"/>
                <w:b/>
                <w:bCs/>
                <w:color w:val="000000"/>
                <w:kern w:val="0"/>
                <w:sz w:val="32"/>
                <w:szCs w:val="32"/>
                <w:lang w:val="en-US" w:eastAsia="zh-CN" w:bidi="ar"/>
              </w:rPr>
              <w:br w:type="textWrapping"/>
            </w:r>
            <w:r>
              <w:rPr>
                <w:rFonts w:hint="eastAsia" w:ascii="仿宋" w:hAnsi="仿宋" w:eastAsia="仿宋" w:cs="仿宋"/>
                <w:b/>
                <w:bCs/>
                <w:color w:val="000000"/>
                <w:kern w:val="0"/>
                <w:sz w:val="32"/>
                <w:szCs w:val="32"/>
                <w:lang w:val="en-US" w:eastAsia="zh-CN" w:bidi="ar"/>
              </w:rPr>
              <w:t>管理</w:t>
            </w:r>
            <w:r>
              <w:rPr>
                <w:rFonts w:hint="eastAsia" w:ascii="仿宋" w:hAnsi="仿宋" w:eastAsia="仿宋" w:cs="仿宋"/>
                <w:b/>
                <w:bCs/>
                <w:color w:val="000000"/>
                <w:kern w:val="0"/>
                <w:sz w:val="32"/>
                <w:szCs w:val="32"/>
                <w:lang w:val="en-US" w:eastAsia="zh-CN" w:bidi="ar"/>
              </w:rPr>
              <w:br w:type="textWrapping"/>
            </w:r>
            <w:r>
              <w:rPr>
                <w:rFonts w:hint="eastAsia" w:ascii="仿宋" w:hAnsi="仿宋" w:eastAsia="仿宋" w:cs="仿宋"/>
                <w:b/>
                <w:bCs/>
                <w:color w:val="000000"/>
                <w:kern w:val="0"/>
                <w:sz w:val="32"/>
                <w:szCs w:val="32"/>
                <w:lang w:val="en-US" w:eastAsia="zh-CN" w:bidi="ar"/>
              </w:rPr>
              <w:t>（10分）</w:t>
            </w: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按相关规定建立药品进销存台账，建立按月盘点和对账制度，做到账账相符、账实相符，进销存信息可追溯管理。</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违规1例扣4分。</w:t>
            </w:r>
          </w:p>
        </w:tc>
        <w:tc>
          <w:tcPr>
            <w:tcW w:w="1321" w:type="dxa"/>
            <w:tcBorders>
              <w:tl2br w:val="nil"/>
              <w:tr2bl w:val="nil"/>
            </w:tcBorders>
            <w:shd w:val="clear" w:color="auto" w:fill="auto"/>
            <w:tcMar>
              <w:top w:w="15" w:type="dxa"/>
              <w:left w:w="15" w:type="dxa"/>
              <w:right w:w="15" w:type="dxa"/>
            </w:tcMar>
            <w:vAlign w:val="center"/>
          </w:tcPr>
          <w:p>
            <w:pPr>
              <w:spacing w:line="360" w:lineRule="exact"/>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36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落实处方审核、签字、保管相关规定，严格按照处方销售医保目录内处方药，药师对处方进行审核、签字后调剂配发药品。</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违规1例扣4分。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15</w:t>
            </w:r>
          </w:p>
        </w:tc>
        <w:tc>
          <w:tcPr>
            <w:tcW w:w="136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外配处方由定点医疗机构医师开具（支持定点医疗机构开具的电子外配处方），有医师签章。</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违规1例扣2分。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36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经营</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管理</w:t>
            </w:r>
            <w:r>
              <w:rPr>
                <w:rFonts w:hint="eastAsia" w:ascii="仿宋" w:hAnsi="仿宋" w:eastAsia="仿宋" w:cs="仿宋"/>
                <w:b/>
                <w:bCs/>
                <w:color w:val="000000"/>
                <w:kern w:val="0"/>
                <w:sz w:val="32"/>
                <w:szCs w:val="32"/>
                <w:lang w:val="en-US" w:eastAsia="zh-CN" w:bidi="ar"/>
              </w:rPr>
              <w:br w:type="textWrapping"/>
            </w:r>
            <w:r>
              <w:rPr>
                <w:rFonts w:hint="eastAsia" w:ascii="仿宋" w:hAnsi="仿宋" w:eastAsia="仿宋" w:cs="仿宋"/>
                <w:b/>
                <w:bCs/>
                <w:color w:val="000000"/>
                <w:kern w:val="0"/>
                <w:sz w:val="32"/>
                <w:szCs w:val="32"/>
                <w:lang w:val="en-US" w:eastAsia="zh-CN" w:bidi="ar"/>
              </w:rPr>
              <w:t>（35分）</w:t>
            </w:r>
          </w:p>
          <w:p>
            <w:pPr>
              <w:pStyle w:val="2"/>
              <w:rPr>
                <w:rFonts w:hint="eastAsia" w:ascii="仿宋" w:hAnsi="仿宋" w:eastAsia="仿宋" w:cs="仿宋"/>
                <w:b/>
                <w:bCs/>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p>
          <w:p>
            <w:pPr>
              <w:pStyle w:val="2"/>
              <w:ind w:left="0" w:leftChars="0" w:firstLine="321" w:firstLineChars="100"/>
              <w:rPr>
                <w:rFonts w:hint="eastAsia" w:ascii="仿宋" w:hAnsi="仿宋" w:eastAsia="仿宋" w:cs="仿宋"/>
                <w:b/>
                <w:bCs/>
                <w:color w:val="000000"/>
                <w:kern w:val="0"/>
                <w:sz w:val="32"/>
                <w:szCs w:val="32"/>
                <w:lang w:val="en-US" w:eastAsia="zh-CN" w:bidi="ar"/>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药品、医疗器械实行分类管理、分区摆放，店内设置医保刷卡标识；非刷卡区营业面积不超过经营面积的25%。</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未按分类管理要求摆放或设置药品器械的扣2分；非医保刷卡区营业面积超过25%的扣3分。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按照医保定点协议规定经营药品、医疗器械、计划生育用品、保健品、消毒用品。</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摆放或销售医保协议约定范围外的产品，或销售没有国家批文字号的医疗器械、保健品的扣5分。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刷卡消费必须出具购药发票、清单，且与实际购买药品的品名、金额、数量一致；按规定保管药品刷卡费用清单，刷卡结算单与销售凭证相对应。</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未按要求提供票据或刷卡信息与实际不符的，每发现1例扣1分。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国家谈判药品定点零售药店按照“双通道”管理规定销售储备谈判药品，严格执行谈判药品价格政策。</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不符合要求的扣5分。非谈判药品定点药店此项不扣分。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药品、医疗器械明码标价，医保刷卡购买价格与店内标注价格一致。</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无明码标价的每1例扣1分，医保刷卡金额高于店内标注价格的每1例扣1分。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9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8"/>
                <w:szCs w:val="28"/>
                <w:lang w:val="en-US" w:eastAsia="zh-CN"/>
              </w:rPr>
              <w:t>21</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积极配合医疗保障部门监督检查，按时提供相关检查资料。</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不配合检查的扣3分，未按时提供资料的扣2分。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22</w:t>
            </w:r>
          </w:p>
        </w:tc>
        <w:tc>
          <w:tcPr>
            <w:tcW w:w="136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lang w:bidi="ar"/>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开展医保电子凭证推广激活工作，支持医保电子凭证和身份证就医购药。</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不支持医保电子凭证就医购药扣 3分；不支持身份证就医购药扣2分。</w:t>
            </w:r>
          </w:p>
        </w:tc>
        <w:tc>
          <w:tcPr>
            <w:tcW w:w="1321" w:type="dxa"/>
            <w:tcBorders>
              <w:tl2br w:val="nil"/>
              <w:tr2bl w:val="nil"/>
            </w:tcBorders>
            <w:shd w:val="clear" w:color="auto" w:fill="auto"/>
            <w:tcMar>
              <w:top w:w="15" w:type="dxa"/>
              <w:left w:w="15" w:type="dxa"/>
              <w:right w:w="15" w:type="dxa"/>
            </w:tcMar>
            <w:vAlign w:val="center"/>
          </w:tcPr>
          <w:p>
            <w:pPr>
              <w:pStyle w:val="2"/>
              <w:ind w:left="0" w:leftChars="0" w:firstLine="0" w:firstLineChars="0"/>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23</w:t>
            </w:r>
          </w:p>
        </w:tc>
        <w:tc>
          <w:tcPr>
            <w:tcW w:w="136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（五）</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结算</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费用</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管理</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b/>
                <w:bCs/>
                <w:color w:val="000000"/>
                <w:kern w:val="0"/>
                <w:sz w:val="32"/>
                <w:szCs w:val="32"/>
                <w:lang w:val="en-US" w:eastAsia="zh-CN" w:bidi="ar"/>
              </w:rPr>
              <w:t>（10分）</w:t>
            </w: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不得为参保人购买营养保健品、化妆品、生活用品等非医疗相关物品提供医保结算服务。</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违反规定扣3分。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24</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按规定向参保人提供有效、真实、完整的收费票据及医保结算单等相关材料。</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未提供相关凭据的每例扣1分。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25</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医疗费用按月结算，每月10日前与医保经办机构对账，上月费用当月完成结算。</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违反规定每例扣2分。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26</w:t>
            </w:r>
          </w:p>
        </w:tc>
        <w:tc>
          <w:tcPr>
            <w:tcW w:w="136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（六）</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仿宋" w:hAnsi="仿宋" w:eastAsia="仿宋" w:cs="仿宋"/>
                <w:color w:val="000000"/>
                <w:sz w:val="24"/>
                <w:szCs w:val="24"/>
              </w:rPr>
            </w:pPr>
            <w:r>
              <w:rPr>
                <w:rFonts w:hint="eastAsia" w:ascii="仿宋" w:hAnsi="仿宋" w:eastAsia="仿宋" w:cs="仿宋"/>
                <w:b/>
                <w:bCs/>
                <w:color w:val="000000"/>
                <w:kern w:val="0"/>
                <w:sz w:val="32"/>
                <w:szCs w:val="32"/>
                <w:lang w:val="en-US" w:eastAsia="zh-CN" w:bidi="ar"/>
              </w:rPr>
              <w:t>医保     信息</w:t>
            </w:r>
            <w:r>
              <w:rPr>
                <w:rFonts w:hint="eastAsia" w:ascii="仿宋" w:hAnsi="仿宋" w:eastAsia="仿宋" w:cs="仿宋"/>
                <w:b/>
                <w:bCs/>
                <w:color w:val="000000"/>
                <w:kern w:val="0"/>
                <w:sz w:val="32"/>
                <w:szCs w:val="32"/>
                <w:lang w:val="en-US" w:eastAsia="zh-CN" w:bidi="ar"/>
              </w:rPr>
              <w:br w:type="textWrapping"/>
            </w:r>
            <w:r>
              <w:rPr>
                <w:rFonts w:hint="eastAsia" w:ascii="仿宋" w:hAnsi="仿宋" w:eastAsia="仿宋" w:cs="仿宋"/>
                <w:b/>
                <w:bCs/>
                <w:color w:val="000000"/>
                <w:kern w:val="0"/>
                <w:sz w:val="32"/>
                <w:szCs w:val="32"/>
                <w:lang w:val="en-US" w:eastAsia="zh-CN" w:bidi="ar"/>
              </w:rPr>
              <w:t>管理</w:t>
            </w:r>
            <w:r>
              <w:rPr>
                <w:rFonts w:hint="eastAsia" w:ascii="仿宋" w:hAnsi="仿宋" w:eastAsia="仿宋" w:cs="仿宋"/>
                <w:b/>
                <w:bCs/>
                <w:color w:val="000000"/>
                <w:kern w:val="0"/>
                <w:sz w:val="32"/>
                <w:szCs w:val="32"/>
                <w:lang w:val="en-US" w:eastAsia="zh-CN" w:bidi="ar"/>
              </w:rPr>
              <w:br w:type="textWrapping"/>
            </w:r>
            <w:r>
              <w:rPr>
                <w:rFonts w:hint="eastAsia" w:ascii="仿宋" w:hAnsi="仿宋" w:eastAsia="仿宋" w:cs="仿宋"/>
                <w:b/>
                <w:bCs/>
                <w:color w:val="000000"/>
                <w:kern w:val="0"/>
                <w:sz w:val="32"/>
                <w:szCs w:val="32"/>
                <w:lang w:val="en-US" w:eastAsia="zh-CN" w:bidi="ar"/>
              </w:rPr>
              <w:t>（15分</w:t>
            </w:r>
            <w:r>
              <w:rPr>
                <w:rFonts w:hint="eastAsia" w:ascii="仿宋" w:hAnsi="仿宋" w:eastAsia="仿宋" w:cs="仿宋"/>
                <w:b/>
                <w:bCs/>
                <w:color w:val="000000"/>
                <w:kern w:val="0"/>
                <w:sz w:val="32"/>
                <w:szCs w:val="32"/>
                <w:lang w:bidi="ar"/>
              </w:rPr>
              <w:t>）</w:t>
            </w: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具有符合医保管理要求的医院信息系统技术和接口标准，完成医保信息系统接口改造工作。</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进销存系统入库、出库、业务数据统计等模块每少一个模块扣1分；未完成接口改造的1个接口扣1分。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27</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按规定及时全面准确向医保信息系统传送医保结算和审核所需的有关数据</w:t>
            </w:r>
            <w:r>
              <w:rPr>
                <w:rFonts w:hint="eastAsia" w:ascii="仿宋" w:hAnsi="仿宋" w:eastAsia="仿宋" w:cs="仿宋"/>
                <w:color w:val="000000"/>
                <w:kern w:val="0"/>
                <w:sz w:val="24"/>
                <w:szCs w:val="24"/>
                <w:lang w:val="en-US" w:eastAsia="zh-CN" w:bidi="ar"/>
              </w:rPr>
              <w:t>，</w:t>
            </w:r>
            <w:r>
              <w:rPr>
                <w:rFonts w:hint="default" w:ascii="仿宋" w:hAnsi="仿宋" w:eastAsia="仿宋" w:cs="仿宋"/>
                <w:color w:val="000000"/>
                <w:kern w:val="0"/>
                <w:sz w:val="24"/>
                <w:szCs w:val="24"/>
                <w:lang w:val="en-US" w:eastAsia="zh-CN" w:bidi="ar"/>
              </w:rPr>
              <w:t>为参保人员提供直接结算。</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数据传送不及时不准确的，每次扣1分，扣完为止；不能提供直接结算的扣5分，直至分值扣完为止。</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28</w:t>
            </w:r>
          </w:p>
        </w:tc>
        <w:tc>
          <w:tcPr>
            <w:tcW w:w="1365" w:type="dxa"/>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color w:val="000000"/>
                <w:sz w:val="24"/>
                <w:szCs w:val="24"/>
              </w:rPr>
            </w:pPr>
          </w:p>
        </w:tc>
        <w:tc>
          <w:tcPr>
            <w:tcW w:w="6046"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建立网络信息安全管理制度，做好与医保有关的信息系统安全保障工作，实现专网专用、专机专用、遵守数据安全有关制度，保护参保人员隐私。</w:t>
            </w:r>
          </w:p>
        </w:tc>
        <w:tc>
          <w:tcPr>
            <w:tcW w:w="127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医保信息系统未专网专用扣2分、未专机专用扣1分，未建立网络信息安全管理制度扣1分，泄露信息数据1条扣1分。</w:t>
            </w:r>
          </w:p>
        </w:tc>
        <w:tc>
          <w:tcPr>
            <w:tcW w:w="1321" w:type="dxa"/>
            <w:tcBorders>
              <w:tl2br w:val="nil"/>
              <w:tr2bl w:val="nil"/>
            </w:tcBorders>
            <w:shd w:val="clear" w:color="auto" w:fill="auto"/>
            <w:tcMar>
              <w:top w:w="15" w:type="dxa"/>
              <w:left w:w="15" w:type="dxa"/>
              <w:right w:w="15" w:type="dxa"/>
            </w:tcMar>
            <w:vAlign w:val="center"/>
          </w:tcPr>
          <w:p>
            <w:pPr>
              <w:spacing w:line="360" w:lineRule="exact"/>
              <w:jc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29</w:t>
            </w:r>
          </w:p>
        </w:tc>
        <w:tc>
          <w:tcPr>
            <w:tcW w:w="136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扣分</w:t>
            </w:r>
          </w:p>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事项</w:t>
            </w:r>
          </w:p>
          <w:p>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cs="仿宋"/>
                <w:b/>
                <w:bCs/>
                <w:color w:val="000000"/>
                <w:kern w:val="0"/>
                <w:sz w:val="32"/>
                <w:szCs w:val="32"/>
                <w:lang w:bidi="ar"/>
              </w:rPr>
            </w:pPr>
          </w:p>
        </w:tc>
        <w:tc>
          <w:tcPr>
            <w:tcW w:w="60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新冠肺炎疫情防控工作落实</w:t>
            </w:r>
          </w:p>
        </w:tc>
        <w:tc>
          <w:tcPr>
            <w:tcW w:w="12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5分</w:t>
            </w:r>
          </w:p>
        </w:tc>
        <w:tc>
          <w:tcPr>
            <w:tcW w:w="3659" w:type="dxa"/>
            <w:tcBorders>
              <w:tl2br w:val="nil"/>
              <w:tr2bl w:val="nil"/>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“白银快办”场所码未注册扣5分，</w:t>
            </w:r>
          </w:p>
          <w:p>
            <w:pPr>
              <w:widowControl/>
              <w:spacing w:line="360" w:lineRule="exact"/>
              <w:jc w:val="left"/>
              <w:textAlignment w:val="center"/>
              <w:rPr>
                <w:rFonts w:hint="default"/>
                <w:lang w:val="en-US" w:eastAsia="zh-CN"/>
              </w:rPr>
            </w:pPr>
            <w:r>
              <w:rPr>
                <w:rFonts w:hint="eastAsia" w:ascii="仿宋" w:hAnsi="仿宋" w:eastAsia="仿宋" w:cs="仿宋"/>
                <w:color w:val="000000"/>
                <w:kern w:val="0"/>
                <w:sz w:val="24"/>
                <w:szCs w:val="24"/>
                <w:lang w:val="en-US" w:eastAsia="zh-CN" w:bidi="ar"/>
              </w:rPr>
              <w:t>注册后扫码量低于5人/日扣3分、低于10人/日扣2分、低于15人/日扣1分</w:t>
            </w:r>
          </w:p>
        </w:tc>
        <w:tc>
          <w:tcPr>
            <w:tcW w:w="13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30</w:t>
            </w:r>
          </w:p>
        </w:tc>
        <w:tc>
          <w:tcPr>
            <w:tcW w:w="136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（八）</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一票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否决</w:t>
            </w:r>
          </w:p>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事项</w:t>
            </w:r>
          </w:p>
          <w:p>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cs="仿宋"/>
                <w:b/>
                <w:bCs/>
                <w:color w:val="000000"/>
                <w:kern w:val="0"/>
                <w:sz w:val="32"/>
                <w:szCs w:val="32"/>
                <w:lang w:bidi="ar"/>
              </w:rPr>
            </w:pPr>
          </w:p>
        </w:tc>
        <w:tc>
          <w:tcPr>
            <w:tcW w:w="6046" w:type="dxa"/>
            <w:tcBorders>
              <w:tl2br w:val="nil"/>
              <w:tr2bl w:val="nil"/>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1.在考核过程中不配合或弄虚作假的；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2.在考核中发现违反国家医保局《零售药店医疗保障定点管理暂行办法》第三十九条、第四十条有关条款，存在中止或解除医保服务协议情形的；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3.违反医保相关政策，被媒体曝光造成恶劣社会影响的；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i w:val="0"/>
                <w:color w:val="000000"/>
                <w:sz w:val="24"/>
                <w:szCs w:val="24"/>
                <w:u w:val="none"/>
                <w:lang w:val="en-US" w:eastAsia="zh-CN"/>
              </w:rPr>
              <w:t>4.拒不执行医保部门行政处理或协议处理决定的。</w:t>
            </w:r>
          </w:p>
        </w:tc>
        <w:tc>
          <w:tcPr>
            <w:tcW w:w="12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color w:val="000000"/>
                <w:kern w:val="0"/>
                <w:sz w:val="32"/>
                <w:szCs w:val="32"/>
                <w:lang w:bidi="ar"/>
              </w:rPr>
            </w:pPr>
          </w:p>
        </w:tc>
        <w:tc>
          <w:tcPr>
            <w:tcW w:w="365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考核中发现</w:t>
            </w:r>
            <w:r>
              <w:rPr>
                <w:rFonts w:hint="default" w:ascii="仿宋" w:hAnsi="仿宋" w:eastAsia="仿宋" w:cs="仿宋"/>
                <w:i w:val="0"/>
                <w:color w:val="000000"/>
                <w:kern w:val="0"/>
                <w:sz w:val="24"/>
                <w:szCs w:val="24"/>
                <w:u w:val="none"/>
                <w:lang w:val="en-US" w:eastAsia="zh-CN" w:bidi="ar"/>
              </w:rPr>
              <w:t>一票否决</w:t>
            </w:r>
            <w:r>
              <w:rPr>
                <w:rFonts w:hint="eastAsia" w:ascii="仿宋" w:hAnsi="仿宋" w:eastAsia="仿宋" w:cs="仿宋"/>
                <w:i w:val="0"/>
                <w:color w:val="000000"/>
                <w:kern w:val="0"/>
                <w:sz w:val="24"/>
                <w:szCs w:val="24"/>
                <w:u w:val="none"/>
                <w:lang w:val="en-US" w:eastAsia="zh-CN" w:bidi="ar"/>
              </w:rPr>
              <w:t>事</w:t>
            </w:r>
            <w:r>
              <w:rPr>
                <w:rFonts w:hint="default" w:ascii="仿宋" w:hAnsi="仿宋" w:eastAsia="仿宋" w:cs="仿宋"/>
                <w:i w:val="0"/>
                <w:color w:val="000000"/>
                <w:kern w:val="0"/>
                <w:sz w:val="24"/>
                <w:szCs w:val="24"/>
                <w:u w:val="none"/>
                <w:lang w:val="en-US" w:eastAsia="zh-CN" w:bidi="ar"/>
              </w:rPr>
              <w:t>项</w:t>
            </w:r>
            <w:r>
              <w:rPr>
                <w:rFonts w:hint="eastAsia" w:ascii="仿宋" w:hAnsi="仿宋" w:eastAsia="仿宋" w:cs="仿宋"/>
                <w:i w:val="0"/>
                <w:color w:val="000000"/>
                <w:kern w:val="0"/>
                <w:sz w:val="24"/>
                <w:szCs w:val="24"/>
                <w:u w:val="none"/>
                <w:lang w:val="en-US" w:eastAsia="zh-CN" w:bidi="ar"/>
              </w:rPr>
              <w:t>中的任意一种情形，</w:t>
            </w:r>
            <w:r>
              <w:rPr>
                <w:rFonts w:hint="default" w:ascii="仿宋" w:hAnsi="仿宋" w:eastAsia="仿宋" w:cs="仿宋"/>
                <w:i w:val="0"/>
                <w:color w:val="000000"/>
                <w:kern w:val="0"/>
                <w:sz w:val="24"/>
                <w:szCs w:val="24"/>
                <w:u w:val="none"/>
                <w:lang w:val="en-US" w:eastAsia="zh-CN" w:bidi="ar"/>
              </w:rPr>
              <w:t>考核</w:t>
            </w:r>
            <w:r>
              <w:rPr>
                <w:rFonts w:hint="eastAsia" w:ascii="仿宋" w:hAnsi="仿宋" w:eastAsia="仿宋" w:cs="仿宋"/>
                <w:i w:val="0"/>
                <w:color w:val="000000"/>
                <w:kern w:val="0"/>
                <w:sz w:val="24"/>
                <w:szCs w:val="24"/>
                <w:u w:val="none"/>
                <w:lang w:val="en-US" w:eastAsia="zh-CN" w:bidi="ar"/>
              </w:rPr>
              <w:t>等次直接评定为不合格（D级）</w:t>
            </w:r>
            <w:r>
              <w:rPr>
                <w:rFonts w:hint="default" w:ascii="仿宋" w:hAnsi="仿宋" w:eastAsia="仿宋" w:cs="仿宋"/>
                <w:i w:val="0"/>
                <w:color w:val="000000"/>
                <w:kern w:val="0"/>
                <w:sz w:val="24"/>
                <w:szCs w:val="24"/>
                <w:u w:val="none"/>
                <w:lang w:val="en-US" w:eastAsia="zh-CN" w:bidi="ar"/>
              </w:rPr>
              <w:t>。</w:t>
            </w:r>
          </w:p>
        </w:tc>
        <w:tc>
          <w:tcPr>
            <w:tcW w:w="132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仿宋" w:hAnsi="仿宋" w:eastAsia="仿宋" w:cs="仿宋"/>
                <w:b/>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690"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31</w:t>
            </w:r>
          </w:p>
        </w:tc>
        <w:tc>
          <w:tcPr>
            <w:tcW w:w="1365" w:type="dxa"/>
            <w:tcBorders>
              <w:tl2br w:val="nil"/>
              <w:tr2bl w:val="nil"/>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b/>
                <w:bCs/>
                <w:color w:val="000000"/>
                <w:kern w:val="0"/>
                <w:sz w:val="32"/>
                <w:szCs w:val="32"/>
                <w:lang w:bidi="ar"/>
              </w:rPr>
              <w:t>考核总分</w:t>
            </w:r>
            <w:r>
              <w:rPr>
                <w:rFonts w:hint="eastAsia" w:ascii="仿宋" w:hAnsi="仿宋" w:eastAsia="仿宋" w:cs="仿宋"/>
                <w:color w:val="000000"/>
                <w:kern w:val="0"/>
                <w:sz w:val="24"/>
                <w:szCs w:val="24"/>
                <w:lang w:bidi="ar"/>
              </w:rPr>
              <w:t xml:space="preserve"> </w:t>
            </w:r>
          </w:p>
        </w:tc>
        <w:tc>
          <w:tcPr>
            <w:tcW w:w="10980" w:type="dxa"/>
            <w:gridSpan w:val="3"/>
            <w:tcBorders>
              <w:tl2br w:val="nil"/>
              <w:tr2bl w:val="nil"/>
            </w:tcBorders>
            <w:shd w:val="clear" w:color="auto" w:fill="auto"/>
            <w:tcMar>
              <w:top w:w="15" w:type="dxa"/>
              <w:left w:w="15" w:type="dxa"/>
              <w:right w:w="15" w:type="dxa"/>
            </w:tcMar>
            <w:vAlign w:val="center"/>
          </w:tcPr>
          <w:p>
            <w:pPr>
              <w:widowControl/>
              <w:spacing w:line="360" w:lineRule="exact"/>
              <w:ind w:left="280" w:hanging="280" w:hangingChars="100"/>
              <w:jc w:val="left"/>
              <w:textAlignment w:val="center"/>
              <w:rPr>
                <w:rFonts w:hint="eastAsia" w:ascii="仿宋" w:hAnsi="仿宋" w:eastAsia="仿宋" w:cs="仿宋"/>
                <w:color w:val="000000"/>
                <w:kern w:val="0"/>
                <w:sz w:val="28"/>
                <w:szCs w:val="28"/>
                <w:u w:val="none"/>
                <w:lang w:val="en-US" w:eastAsia="zh-CN" w:bidi="ar"/>
              </w:rPr>
            </w:pPr>
            <w:r>
              <w:rPr>
                <w:rFonts w:hint="eastAsia" w:ascii="仿宋" w:hAnsi="仿宋" w:eastAsia="仿宋" w:cs="仿宋"/>
                <w:color w:val="000000"/>
                <w:kern w:val="0"/>
                <w:sz w:val="28"/>
                <w:szCs w:val="28"/>
                <w:u w:val="none"/>
                <w:lang w:bidi="ar"/>
              </w:rPr>
              <w:t>考核得分≥90分的为优秀（A级）；80 分≤考核得分＜90分的为良好（B级）；</w:t>
            </w:r>
            <w:r>
              <w:rPr>
                <w:rFonts w:hint="eastAsia" w:ascii="仿宋" w:hAnsi="仿宋" w:eastAsia="仿宋" w:cs="仿宋"/>
                <w:color w:val="000000"/>
                <w:kern w:val="0"/>
                <w:sz w:val="28"/>
                <w:szCs w:val="28"/>
                <w:u w:val="none"/>
                <w:lang w:val="en-US" w:eastAsia="zh-CN" w:bidi="ar"/>
              </w:rPr>
              <w:t xml:space="preserve">             </w:t>
            </w:r>
          </w:p>
          <w:p>
            <w:pPr>
              <w:widowControl/>
              <w:spacing w:line="360" w:lineRule="exact"/>
              <w:ind w:left="280" w:hanging="280" w:hangingChars="100"/>
              <w:jc w:val="left"/>
              <w:textAlignment w:val="center"/>
              <w:rPr>
                <w:rFonts w:ascii="仿宋" w:hAnsi="仿宋" w:eastAsia="仿宋" w:cs="仿宋"/>
                <w:color w:val="000000"/>
                <w:kern w:val="0"/>
                <w:sz w:val="28"/>
                <w:szCs w:val="28"/>
                <w:u w:val="single"/>
                <w:lang w:bidi="ar"/>
              </w:rPr>
            </w:pPr>
            <w:r>
              <w:rPr>
                <w:rFonts w:hint="eastAsia" w:ascii="仿宋" w:hAnsi="仿宋" w:eastAsia="仿宋" w:cs="仿宋"/>
                <w:color w:val="000000"/>
                <w:kern w:val="0"/>
                <w:sz w:val="28"/>
                <w:szCs w:val="28"/>
                <w:u w:val="none"/>
                <w:lang w:bidi="ar"/>
              </w:rPr>
              <w:t>70分≤考核得分＜80分的为合格（C级）；考核得分＜70分的为不合格（D级）。</w:t>
            </w:r>
          </w:p>
        </w:tc>
        <w:tc>
          <w:tcPr>
            <w:tcW w:w="1321" w:type="dxa"/>
            <w:tcBorders>
              <w:tl2br w:val="nil"/>
              <w:tr2bl w:val="nil"/>
            </w:tcBorders>
            <w:shd w:val="clear" w:color="auto" w:fill="auto"/>
            <w:tcMar>
              <w:top w:w="15" w:type="dxa"/>
              <w:left w:w="15" w:type="dxa"/>
              <w:right w:w="15" w:type="dxa"/>
            </w:tcMar>
            <w:vAlign w:val="center"/>
          </w:tcPr>
          <w:p>
            <w:pPr>
              <w:widowControl/>
              <w:spacing w:line="360" w:lineRule="exact"/>
              <w:ind w:firstLine="2520" w:firstLineChars="900"/>
              <w:textAlignment w:val="center"/>
              <w:rPr>
                <w:rFonts w:ascii="仿宋" w:hAnsi="仿宋" w:eastAsia="仿宋" w:cs="仿宋"/>
                <w:color w:val="000000"/>
                <w:kern w:val="0"/>
                <w:sz w:val="28"/>
                <w:szCs w:val="28"/>
                <w:u w:val="single"/>
                <w:lang w:bidi="ar"/>
              </w:rPr>
            </w:pPr>
          </w:p>
        </w:tc>
      </w:tr>
    </w:tbl>
    <w:p>
      <w:pPr>
        <w:rPr>
          <w:rFonts w:hint="eastAsia" w:ascii="仿宋" w:hAnsi="仿宋" w:eastAsia="仿宋" w:cs="仿宋"/>
          <w:i w:val="0"/>
          <w:color w:val="000000"/>
          <w:kern w:val="0"/>
          <w:sz w:val="28"/>
          <w:szCs w:val="28"/>
          <w:u w:val="none"/>
          <w:lang w:val="en-US" w:eastAsia="zh-CN" w:bidi="ar"/>
        </w:rPr>
      </w:pPr>
    </w:p>
    <w:p>
      <w:pPr>
        <w:rPr>
          <w:rFonts w:hint="default" w:ascii="仿宋" w:hAnsi="仿宋" w:eastAsia="仿宋" w:cs="仿宋"/>
          <w:i w:val="0"/>
          <w:color w:val="000000"/>
          <w:kern w:val="0"/>
          <w:sz w:val="28"/>
          <w:szCs w:val="28"/>
          <w:u w:val="single"/>
          <w:lang w:val="en-US" w:eastAsia="zh-CN" w:bidi="ar"/>
        </w:rPr>
      </w:pPr>
      <w:r>
        <w:rPr>
          <w:rFonts w:hint="eastAsia" w:ascii="仿宋" w:hAnsi="仿宋" w:eastAsia="仿宋" w:cs="仿宋"/>
          <w:i w:val="0"/>
          <w:color w:val="000000"/>
          <w:kern w:val="0"/>
          <w:sz w:val="28"/>
          <w:szCs w:val="28"/>
          <w:u w:val="none"/>
          <w:lang w:val="en-US" w:eastAsia="zh-CN" w:bidi="ar"/>
        </w:rPr>
        <w:t>定点</w:t>
      </w:r>
      <w:r>
        <w:rPr>
          <w:rFonts w:hint="default" w:ascii="仿宋" w:hAnsi="仿宋" w:eastAsia="仿宋" w:cs="仿宋"/>
          <w:i w:val="0"/>
          <w:color w:val="000000"/>
          <w:kern w:val="0"/>
          <w:sz w:val="28"/>
          <w:szCs w:val="28"/>
          <w:u w:val="none"/>
          <w:lang w:eastAsia="zh-CN" w:bidi="ar"/>
        </w:rPr>
        <w:t>零售药店</w:t>
      </w:r>
      <w:r>
        <w:rPr>
          <w:rFonts w:hint="eastAsia" w:ascii="仿宋" w:hAnsi="仿宋" w:eastAsia="仿宋" w:cs="仿宋"/>
          <w:i w:val="0"/>
          <w:color w:val="000000"/>
          <w:kern w:val="0"/>
          <w:sz w:val="28"/>
          <w:szCs w:val="28"/>
          <w:u w:val="none"/>
          <w:lang w:val="en-US" w:eastAsia="zh-CN" w:bidi="ar"/>
        </w:rPr>
        <w:t>负责人签字：</w:t>
      </w:r>
      <w:r>
        <w:rPr>
          <w:rFonts w:hint="eastAsia" w:ascii="仿宋" w:hAnsi="仿宋" w:eastAsia="仿宋" w:cs="仿宋"/>
          <w:i w:val="0"/>
          <w:color w:val="000000"/>
          <w:kern w:val="0"/>
          <w:sz w:val="28"/>
          <w:szCs w:val="28"/>
          <w:u w:val="single"/>
          <w:lang w:val="en-US" w:eastAsia="zh-CN" w:bidi="ar"/>
        </w:rPr>
        <w:t xml:space="preserve">           </w:t>
      </w:r>
      <w:r>
        <w:rPr>
          <w:rFonts w:hint="eastAsia" w:ascii="仿宋" w:hAnsi="仿宋" w:eastAsia="仿宋" w:cs="仿宋"/>
          <w:i w:val="0"/>
          <w:color w:val="000000"/>
          <w:kern w:val="0"/>
          <w:sz w:val="28"/>
          <w:szCs w:val="28"/>
          <w:u w:val="none"/>
          <w:lang w:val="en-US" w:eastAsia="zh-CN" w:bidi="ar"/>
        </w:rPr>
        <w:t xml:space="preserve">     </w:t>
      </w:r>
      <w:r>
        <w:rPr>
          <w:rFonts w:hint="eastAsia" w:ascii="仿宋" w:hAnsi="仿宋" w:eastAsia="仿宋" w:cs="仿宋"/>
          <w:i w:val="0"/>
          <w:color w:val="000000"/>
          <w:kern w:val="0"/>
          <w:sz w:val="28"/>
          <w:szCs w:val="28"/>
          <w:u w:val="single"/>
          <w:lang w:val="en-US" w:eastAsia="zh-CN" w:bidi="ar"/>
        </w:rPr>
        <w:t>白银区</w:t>
      </w:r>
      <w:r>
        <w:rPr>
          <w:rFonts w:hint="eastAsia" w:ascii="仿宋" w:hAnsi="仿宋" w:eastAsia="仿宋" w:cs="仿宋"/>
          <w:i w:val="0"/>
          <w:color w:val="000000"/>
          <w:kern w:val="0"/>
          <w:sz w:val="28"/>
          <w:szCs w:val="28"/>
          <w:u w:val="none"/>
          <w:lang w:val="en-US" w:eastAsia="zh-CN" w:bidi="ar"/>
        </w:rPr>
        <w:t>医疗保障局考核人员签字：</w:t>
      </w:r>
      <w:r>
        <w:rPr>
          <w:rFonts w:hint="eastAsia" w:ascii="仿宋" w:hAnsi="仿宋" w:eastAsia="仿宋" w:cs="仿宋"/>
          <w:i w:val="0"/>
          <w:color w:val="000000"/>
          <w:kern w:val="0"/>
          <w:sz w:val="28"/>
          <w:szCs w:val="28"/>
          <w:u w:val="single"/>
          <w:lang w:val="en-US" w:eastAsia="zh-CN" w:bidi="ar"/>
        </w:rPr>
        <w:t xml:space="preserve">                        </w:t>
      </w:r>
    </w:p>
    <w:sectPr>
      <w:footerReference r:id="rId3" w:type="default"/>
      <w:pgSz w:w="16838" w:h="11906" w:orient="landscape"/>
      <w:pgMar w:top="1531" w:right="1440" w:bottom="1701"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A4"/>
    <w:rsid w:val="007D0962"/>
    <w:rsid w:val="007E3CA4"/>
    <w:rsid w:val="00B97F38"/>
    <w:rsid w:val="00E1317D"/>
    <w:rsid w:val="02F94A2C"/>
    <w:rsid w:val="099E729F"/>
    <w:rsid w:val="0B3B7F56"/>
    <w:rsid w:val="0C0202DB"/>
    <w:rsid w:val="0D24238E"/>
    <w:rsid w:val="0E817710"/>
    <w:rsid w:val="0F4878CD"/>
    <w:rsid w:val="12AE53FA"/>
    <w:rsid w:val="169C1FE5"/>
    <w:rsid w:val="181303EB"/>
    <w:rsid w:val="26591F83"/>
    <w:rsid w:val="312F4897"/>
    <w:rsid w:val="32682083"/>
    <w:rsid w:val="3276657D"/>
    <w:rsid w:val="40F071CF"/>
    <w:rsid w:val="42325973"/>
    <w:rsid w:val="4E0F2504"/>
    <w:rsid w:val="501F5050"/>
    <w:rsid w:val="57262512"/>
    <w:rsid w:val="5776762D"/>
    <w:rsid w:val="5B0F33D3"/>
    <w:rsid w:val="63B40D0E"/>
    <w:rsid w:val="6BB700D5"/>
    <w:rsid w:val="6FD44773"/>
    <w:rsid w:val="70C96E50"/>
    <w:rsid w:val="71FA1C0B"/>
    <w:rsid w:val="74A7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customStyle="1" w:styleId="12">
    <w:name w:val="Body Text Indent 21"/>
    <w:basedOn w:val="1"/>
    <w:qFormat/>
    <w:uiPriority w:val="0"/>
    <w:pPr>
      <w:spacing w:line="480" w:lineRule="auto"/>
      <w:ind w:left="420" w:leftChars="200"/>
    </w:p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标题 1 Char"/>
    <w:basedOn w:val="9"/>
    <w:link w:val="4"/>
    <w:qFormat/>
    <w:uiPriority w:val="9"/>
    <w:rPr>
      <w:rFonts w:ascii="宋体" w:hAnsi="宋体" w:eastAsia="宋体" w:cs="宋体"/>
      <w:b/>
      <w:bCs/>
      <w:kern w:val="36"/>
      <w:sz w:val="48"/>
      <w:szCs w:val="48"/>
    </w:rPr>
  </w:style>
  <w:style w:type="paragraph" w:customStyle="1" w:styleId="16">
    <w:name w:val="text-cent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1418</Words>
  <Characters>8086</Characters>
  <Lines>67</Lines>
  <Paragraphs>18</Paragraphs>
  <TotalTime>51</TotalTime>
  <ScaleCrop>false</ScaleCrop>
  <LinksUpToDate>false</LinksUpToDate>
  <CharactersWithSpaces>9486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2020-11-17T00:52:00Z</dcterms:created>
  <dc:creator>魏子智</dc:creator>
  <cp:lastModifiedBy>lenovo</cp:lastModifiedBy>
  <cp:lastPrinted>2022-01-19T09:35:00Z</cp:lastPrinted>
  <dcterms:modified xsi:type="dcterms:W3CDTF">2022-03-18T01:22:09Z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A944C65F280A431BA86AAB0365CFF8BC</vt:lpwstr>
  </property>
</Properties>
</file>