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白银有色集团股份有限公司铜业公司</w:t>
      </w:r>
      <w:r>
        <w:rPr>
          <w:rFonts w:hint="eastAsia" w:ascii="黑体" w:hAnsi="黑体" w:eastAsia="黑体"/>
          <w:b/>
          <w:sz w:val="36"/>
          <w:szCs w:val="36"/>
        </w:rPr>
        <w:t>安全诊断隐患清单</w:t>
      </w:r>
    </w:p>
    <w:p>
      <w:pPr>
        <w:spacing w:before="156"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根据《白银市安全生产委员会关于印发</w:t>
      </w:r>
      <w:r>
        <w:rPr>
          <w:rFonts w:hint="eastAsia" w:ascii="宋体" w:hAnsi="宋体"/>
          <w:sz w:val="28"/>
          <w:szCs w:val="28"/>
        </w:rPr>
        <w:t>﹤危险化学品领域“防风险除隐患保安全”百日攻坚专项整治行动方案﹥的通知</w:t>
      </w:r>
      <w:r>
        <w:rPr>
          <w:rFonts w:hint="eastAsia"/>
          <w:sz w:val="28"/>
          <w:szCs w:val="28"/>
        </w:rPr>
        <w:t>》（市安委字</w:t>
      </w:r>
      <w:r>
        <w:rPr>
          <w:sz w:val="28"/>
          <w:szCs w:val="28"/>
        </w:rPr>
        <w:t>〔</w:t>
      </w:r>
      <w:r>
        <w:rPr>
          <w:rFonts w:hint="eastAsia"/>
          <w:sz w:val="28"/>
          <w:szCs w:val="28"/>
        </w:rPr>
        <w:t>2022</w:t>
      </w:r>
      <w:r>
        <w:rPr>
          <w:sz w:val="28"/>
          <w:szCs w:val="28"/>
        </w:rPr>
        <w:t>〕</w:t>
      </w:r>
      <w:r>
        <w:rPr>
          <w:rFonts w:hint="eastAsia"/>
          <w:sz w:val="28"/>
          <w:szCs w:val="28"/>
        </w:rPr>
        <w:t>16号）的要求，2022年8月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日，白银市应急管理局会同白银区应急管理局，组织甘肃恒邦安全管理咨询有限公司专业技术人员对</w:t>
      </w:r>
      <w:r>
        <w:rPr>
          <w:rFonts w:hint="eastAsia"/>
          <w:sz w:val="28"/>
          <w:szCs w:val="28"/>
          <w:lang w:eastAsia="zh-CN"/>
        </w:rPr>
        <w:t>白银有色集团股份有限公司铜业公司</w:t>
      </w:r>
      <w:r>
        <w:rPr>
          <w:rFonts w:hint="eastAsia"/>
          <w:sz w:val="28"/>
          <w:szCs w:val="28"/>
        </w:rPr>
        <w:t>进行了安全诊断。</w:t>
      </w:r>
    </w:p>
    <w:p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本次安全诊断，我公司专业技术人员按分工从总图、生产工艺、设备设施、电气仪表、应急消防、基础管理等六个方面共查出隐患</w:t>
      </w:r>
      <w:r>
        <w:rPr>
          <w:rFonts w:hint="eastAsia"/>
          <w:sz w:val="28"/>
          <w:szCs w:val="28"/>
          <w:highlight w:val="none"/>
          <w:lang w:val="en-US" w:eastAsia="zh-CN"/>
        </w:rPr>
        <w:t>15</w:t>
      </w:r>
      <w:r>
        <w:rPr>
          <w:rFonts w:hint="eastAsia"/>
          <w:sz w:val="28"/>
          <w:szCs w:val="28"/>
          <w:highlight w:val="none"/>
        </w:rPr>
        <w:t>项，其中一般隐患</w:t>
      </w:r>
      <w:r>
        <w:rPr>
          <w:rFonts w:hint="eastAsia"/>
          <w:sz w:val="28"/>
          <w:szCs w:val="28"/>
          <w:highlight w:val="none"/>
          <w:lang w:val="en-US" w:eastAsia="zh-CN"/>
        </w:rPr>
        <w:t>14</w:t>
      </w:r>
      <w:r>
        <w:rPr>
          <w:rFonts w:hint="eastAsia"/>
          <w:sz w:val="28"/>
          <w:szCs w:val="28"/>
          <w:highlight w:val="none"/>
        </w:rPr>
        <w:t>项，重大隐患</w:t>
      </w:r>
      <w:r>
        <w:rPr>
          <w:rFonts w:hint="eastAsia"/>
          <w:sz w:val="28"/>
          <w:szCs w:val="28"/>
          <w:highlight w:val="none"/>
          <w:lang w:val="en-US" w:eastAsia="zh-CN"/>
        </w:rPr>
        <w:t>1</w:t>
      </w:r>
      <w:r>
        <w:rPr>
          <w:rFonts w:hint="eastAsia"/>
          <w:sz w:val="28"/>
          <w:szCs w:val="28"/>
          <w:highlight w:val="none"/>
        </w:rPr>
        <w:t>项。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具体安全诊断隐患清单汇总见附件。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被检查单位（签字）：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甘肃恒邦安全管理咨询有限公司（签字）：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jc w:val="center"/>
        <w:rPr>
          <w:b/>
          <w:sz w:val="28"/>
          <w:szCs w:val="28"/>
        </w:rPr>
      </w:pPr>
    </w:p>
    <w:p>
      <w:pPr>
        <w:ind w:firstLine="560" w:firstLineChars="200"/>
        <w:jc w:val="center"/>
        <w:rPr>
          <w:b/>
          <w:sz w:val="28"/>
          <w:szCs w:val="28"/>
        </w:rPr>
      </w:pPr>
    </w:p>
    <w:p>
      <w:pPr>
        <w:ind w:firstLine="560" w:firstLineChars="200"/>
        <w:jc w:val="center"/>
        <w:rPr>
          <w:b/>
          <w:sz w:val="28"/>
          <w:szCs w:val="28"/>
        </w:rPr>
      </w:pPr>
    </w:p>
    <w:p>
      <w:pPr>
        <w:ind w:firstLine="560" w:firstLineChars="200"/>
        <w:jc w:val="center"/>
        <w:rPr>
          <w:b/>
          <w:sz w:val="28"/>
          <w:szCs w:val="28"/>
        </w:rPr>
      </w:pPr>
    </w:p>
    <w:p>
      <w:pPr>
        <w:ind w:firstLine="560" w:firstLineChars="200"/>
        <w:jc w:val="center"/>
        <w:rPr>
          <w:b/>
          <w:sz w:val="28"/>
          <w:szCs w:val="28"/>
        </w:rPr>
      </w:pPr>
    </w:p>
    <w:p>
      <w:pPr>
        <w:ind w:firstLine="560" w:firstLineChars="200"/>
        <w:jc w:val="center"/>
        <w:rPr>
          <w:b/>
          <w:sz w:val="28"/>
          <w:szCs w:val="28"/>
        </w:rPr>
      </w:pPr>
    </w:p>
    <w:p>
      <w:pPr>
        <w:ind w:firstLine="560" w:firstLineChars="200"/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560" w:firstLineChars="200"/>
        <w:jc w:val="center"/>
        <w:rPr>
          <w:b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>
      <w:pPr>
        <w:ind w:firstLine="560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白银有色集团股份有限公司铜业公司</w:t>
      </w:r>
      <w:r>
        <w:rPr>
          <w:rFonts w:hint="eastAsia"/>
          <w:b/>
          <w:sz w:val="28"/>
          <w:szCs w:val="28"/>
        </w:rPr>
        <w:t>安全诊断隐患排查清单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937"/>
        <w:gridCol w:w="5744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隐患名称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依据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是否是重大隐患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动火证编号JX2022061605，动火作业级别为特级动火作业，动火时间自2022年6月16日08时40分始至2022年6月16日18时00分止，动火审批时间超过8小时。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《化学品生产单位特殊作业安全规范》（GB 30871-2014)第B.3.1条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可燃有毒体气检测报警系统接入DCS系统，未独立设置。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《国家安全监管总局关于加强化工安全仪表系统管理的指导意见》（安监总管三〔2014〕116号）第11条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可燃有毒气体报警记录中无报警原因分析。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《国家安全监管总局关于加强化工企业泄漏管理的指导意见》（安监总管三〔2014〕94号）第十九条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自控系统程序变更申请单中无风险辨识内容。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《企业安全生产标准化基本规范》（GB/T33000-2016）第5.5.1.4条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氧气充装间风机位于侧墙顶部，位置偏高。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《工业建筑供暖通风与空气调节设计规范》（GB50019-2015）第6.3.9条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现场氮气、氧气储罐取样阀区域未设置氧浓度报警器。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《石油化工可燃气体和有毒气体检测报警设计标准》（GB/T50493-2019）第6.1.2条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液氮储罐一处取样口处压力表无最高工作压力红线。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《固定式压力容器安全技术监察规程》（TSG21-2016）第9.2.1.2条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制氧控制室机柜间未设置应急灯。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《建筑设计防火规范（2018版）》（GB50016-2014）第10.3.5条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机柜间二氧化碳灭火器无称重记录。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《建筑灭火器配置验收及检查规范》（GB50444-2008）附录C第17项。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液态二氧化硫储罐入口管线一处压力表检定过期。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《固定式压力容器安全技术监察规程》（TSG21-2016）第9.2.1.2条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酸站硫酸管线阀门、法兰处未设置防喷溅措施。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《化工企业安全卫生设计规范》（HG20571-2014）第5.6.1条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氧浓度报警器报警值设定值为18.5-23.2%。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《石油化工可燃气体和有毒气体检测报警设计标准》（GB/T50493-2019）第5.5.1条。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制氧车间专职安全管理人员贾永和不具备化工、安全、化学专业的要求。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《危险化学品生产企业安全生产许可证实施办法》（国家安全监管总局令第41号）第十六条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职业健康检查及治疗费用纳入安全生产费用中。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《企业安全生产费用提取和使用管理办法》(财企〔2012〕16号)第12条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20" w:lineRule="exact"/>
              <w:ind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管理制度汇编引用过期法律法规（安全生产会议管理制度引用甘肃省生产经营单位安全责任规定过期、危险作业管理制度中引用的安全生产法过期）。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《企业安全生产标准化基本规范》（GB/T33000-2016）第5.2.1条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ind w:firstLine="560" w:firstLineChars="200"/>
        <w:jc w:val="center"/>
        <w:rPr>
          <w:b/>
          <w:sz w:val="28"/>
          <w:szCs w:val="28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D18"/>
    <w:multiLevelType w:val="multilevel"/>
    <w:tmpl w:val="3C251D18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Tk3M2JmOTljNGU0YTU3YzQxOGVjNzM0NTk1ZmMifQ=="/>
  </w:docVars>
  <w:rsids>
    <w:rsidRoot w:val="5AD82AD0"/>
    <w:rsid w:val="0148437B"/>
    <w:rsid w:val="02761AA8"/>
    <w:rsid w:val="0A254A79"/>
    <w:rsid w:val="0AEE3BEE"/>
    <w:rsid w:val="10FE1B76"/>
    <w:rsid w:val="1833669B"/>
    <w:rsid w:val="184E29B8"/>
    <w:rsid w:val="1C7041E2"/>
    <w:rsid w:val="204C0E35"/>
    <w:rsid w:val="20706808"/>
    <w:rsid w:val="24B635D5"/>
    <w:rsid w:val="2737315E"/>
    <w:rsid w:val="275E3A54"/>
    <w:rsid w:val="28A33A85"/>
    <w:rsid w:val="28C22EC3"/>
    <w:rsid w:val="2C8E0881"/>
    <w:rsid w:val="31F45B0D"/>
    <w:rsid w:val="361B5D49"/>
    <w:rsid w:val="38FF4015"/>
    <w:rsid w:val="40870BBC"/>
    <w:rsid w:val="40881660"/>
    <w:rsid w:val="42566549"/>
    <w:rsid w:val="426C14F0"/>
    <w:rsid w:val="46086D42"/>
    <w:rsid w:val="465C054E"/>
    <w:rsid w:val="49F77349"/>
    <w:rsid w:val="4B746D43"/>
    <w:rsid w:val="4BB0635D"/>
    <w:rsid w:val="4BD84EDE"/>
    <w:rsid w:val="4F050A1D"/>
    <w:rsid w:val="4F986719"/>
    <w:rsid w:val="53D238D0"/>
    <w:rsid w:val="5AD82AD0"/>
    <w:rsid w:val="5AF744BC"/>
    <w:rsid w:val="61B91131"/>
    <w:rsid w:val="62F37126"/>
    <w:rsid w:val="65332930"/>
    <w:rsid w:val="67BB0BC0"/>
    <w:rsid w:val="6AB46645"/>
    <w:rsid w:val="6C582075"/>
    <w:rsid w:val="718A0D61"/>
    <w:rsid w:val="72527D72"/>
    <w:rsid w:val="78B349A3"/>
    <w:rsid w:val="7D24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3365</Words>
  <Characters>4092</Characters>
  <Lines>0</Lines>
  <Paragraphs>0</Paragraphs>
  <TotalTime>1</TotalTime>
  <ScaleCrop>false</ScaleCrop>
  <LinksUpToDate>false</LinksUpToDate>
  <CharactersWithSpaces>4214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2022-08-15T14:35:00Z</dcterms:created>
  <dc:creator>牟鹏东</dc:creator>
  <cp:lastModifiedBy>尘埃未定</cp:lastModifiedBy>
  <dcterms:modified xsi:type="dcterms:W3CDTF">2022-08-17T13:48:40Z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6F785B80FBDF4955B40BF0AFB6AC73E3</vt:lpwstr>
  </property>
</Properties>
</file>