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80" w:lineRule="exact"/>
        <w:jc w:val="center"/>
        <w:rPr>
          <w:rFonts w:ascii="Times New Roman" w:hAnsi="Times New Roman" w:eastAsia="楷体_GB2312"/>
          <w:b/>
          <w:sz w:val="28"/>
          <w:szCs w:val="28"/>
        </w:rPr>
      </w:pPr>
    </w:p>
    <w:p>
      <w:pPr>
        <w:pStyle w:val="8"/>
        <w:spacing w:line="580" w:lineRule="exact"/>
        <w:jc w:val="center"/>
        <w:rPr>
          <w:rFonts w:ascii="Times New Roman" w:hAnsi="Times New Roman"/>
          <w:b/>
          <w:sz w:val="44"/>
          <w:szCs w:val="44"/>
        </w:rPr>
      </w:pPr>
    </w:p>
    <w:p>
      <w:pPr>
        <w:pStyle w:val="8"/>
        <w:spacing w:line="580" w:lineRule="exact"/>
        <w:jc w:val="center"/>
        <w:rPr>
          <w:rFonts w:ascii="方正小标宋简体" w:hAnsi="Times New Roman" w:eastAsia="方正小标宋简体"/>
          <w:sz w:val="44"/>
          <w:szCs w:val="44"/>
        </w:rPr>
      </w:pPr>
      <w:r>
        <w:rPr>
          <w:rFonts w:hint="eastAsia" w:ascii="方正小标宋简体" w:hAnsi="宋体" w:eastAsia="方正小标宋简体" w:cs="宋体"/>
          <w:sz w:val="44"/>
          <w:szCs w:val="44"/>
        </w:rPr>
        <w:t>白银市白银区统计局</w:t>
      </w:r>
    </w:p>
    <w:p>
      <w:pPr>
        <w:pStyle w:val="8"/>
        <w:spacing w:line="58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2020</w:t>
      </w:r>
      <w:r>
        <w:rPr>
          <w:rFonts w:hint="eastAsia" w:ascii="方正小标宋简体" w:hAnsi="宋体" w:eastAsia="方正小标宋简体" w:cs="宋体"/>
          <w:sz w:val="44"/>
          <w:szCs w:val="44"/>
        </w:rPr>
        <w:t>年度部门整体支出绩效自评报告</w:t>
      </w:r>
    </w:p>
    <w:p>
      <w:pPr>
        <w:pStyle w:val="8"/>
        <w:spacing w:line="580" w:lineRule="exact"/>
        <w:jc w:val="center"/>
        <w:rPr>
          <w:rFonts w:ascii="方正小标宋简体" w:hAnsi="Times New Roman" w:eastAsia="方正小标宋简体"/>
          <w:sz w:val="52"/>
          <w:szCs w:val="44"/>
        </w:rPr>
      </w:pPr>
    </w:p>
    <w:p>
      <w:pPr>
        <w:pStyle w:val="8"/>
        <w:spacing w:line="580" w:lineRule="exact"/>
        <w:jc w:val="center"/>
        <w:rPr>
          <w:rFonts w:ascii="Times New Roman" w:hAnsi="Times New Roman" w:eastAsia="仿宋_GB2312"/>
          <w:b/>
          <w:strike/>
          <w:color w:val="FF0000"/>
          <w:sz w:val="32"/>
          <w:szCs w:val="32"/>
        </w:rPr>
      </w:pPr>
    </w:p>
    <w:p>
      <w:pPr>
        <w:pStyle w:val="8"/>
        <w:spacing w:line="580" w:lineRule="exact"/>
        <w:jc w:val="center"/>
        <w:rPr>
          <w:rFonts w:ascii="Times New Roman" w:hAnsi="Times New Roman" w:eastAsia="仿宋_GB2312"/>
          <w:sz w:val="32"/>
          <w:szCs w:val="32"/>
        </w:rPr>
      </w:pPr>
    </w:p>
    <w:p>
      <w:pPr>
        <w:pStyle w:val="8"/>
        <w:spacing w:line="580" w:lineRule="exact"/>
        <w:jc w:val="center"/>
        <w:rPr>
          <w:rFonts w:ascii="Times New Roman" w:hAnsi="Times New Roman" w:eastAsia="仿宋_GB2312"/>
          <w:sz w:val="32"/>
          <w:szCs w:val="32"/>
        </w:rPr>
      </w:pPr>
    </w:p>
    <w:p>
      <w:pPr>
        <w:pStyle w:val="8"/>
        <w:spacing w:line="580" w:lineRule="exact"/>
        <w:jc w:val="center"/>
        <w:rPr>
          <w:rFonts w:ascii="Times New Roman" w:hAnsi="Times New Roman" w:eastAsia="仿宋_GB2312"/>
          <w:sz w:val="32"/>
          <w:szCs w:val="32"/>
        </w:rPr>
      </w:pPr>
    </w:p>
    <w:p/>
    <w:p/>
    <w:p>
      <w:r>
        <w:t xml:space="preserve"> </w:t>
      </w:r>
    </w:p>
    <w:p/>
    <w:p/>
    <w:p/>
    <w:p>
      <w:pPr>
        <w:ind w:firstLine="1920" w:firstLineChars="600"/>
        <w:rPr>
          <w:rFonts w:hint="eastAsia" w:ascii="仿宋_GB2312" w:eastAsia="仿宋_GB2312"/>
          <w:sz w:val="32"/>
          <w:szCs w:val="32"/>
          <w:u w:val="single"/>
        </w:rPr>
      </w:pPr>
      <w:r>
        <w:rPr>
          <w:rFonts w:hint="eastAsia" w:ascii="仿宋_GB2312" w:eastAsia="仿宋_GB2312"/>
          <w:sz w:val="32"/>
          <w:szCs w:val="32"/>
        </w:rPr>
        <w:t>自评单位：</w:t>
      </w:r>
      <w:r>
        <w:rPr>
          <w:rFonts w:hint="eastAsia" w:ascii="仿宋_GB2312" w:eastAsia="仿宋_GB2312"/>
          <w:sz w:val="32"/>
          <w:szCs w:val="32"/>
          <w:u w:val="single"/>
        </w:rPr>
        <w:t>白银市白银区统计局</w:t>
      </w:r>
    </w:p>
    <w:p>
      <w:pPr>
        <w:ind w:firstLine="1920" w:firstLineChars="600"/>
        <w:rPr>
          <w:rFonts w:hint="default" w:ascii="仿宋_GB2312" w:eastAsia="仿宋_GB2312"/>
          <w:sz w:val="32"/>
          <w:szCs w:val="32"/>
          <w:u w:val="single"/>
          <w:lang w:val="en-US" w:eastAsia="zh-CN"/>
        </w:rPr>
      </w:pPr>
      <w:r>
        <w:rPr>
          <w:rFonts w:hint="eastAsia" w:ascii="仿宋_GB2312" w:eastAsia="仿宋_GB2312"/>
          <w:sz w:val="32"/>
          <w:szCs w:val="32"/>
          <w:lang w:val="en-US" w:eastAsia="zh-CN"/>
        </w:rPr>
        <w:t>单位负责人：</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bookmarkStart w:id="1" w:name="_GoBack"/>
      <w:bookmarkEnd w:id="1"/>
      <w:r>
        <w:rPr>
          <w:rFonts w:ascii="仿宋_GB2312" w:eastAsia="仿宋_GB2312"/>
          <w:color w:val="FFFFFF" w:themeColor="background1"/>
          <w:sz w:val="32"/>
          <w:szCs w:val="32"/>
          <w:u w:val="single"/>
          <w14:textFill>
            <w14:solidFill>
              <w14:schemeClr w14:val="bg1"/>
            </w14:solidFill>
          </w14:textFill>
        </w:rPr>
        <w:t>21</w:t>
      </w:r>
      <w:r>
        <w:rPr>
          <w:rFonts w:hint="eastAsia" w:ascii="仿宋_GB2312" w:eastAsia="仿宋_GB2312"/>
          <w:color w:val="FFFFFF" w:themeColor="background1"/>
          <w:sz w:val="32"/>
          <w:szCs w:val="32"/>
          <w:u w:val="single"/>
          <w14:textFill>
            <w14:solidFill>
              <w14:schemeClr w14:val="bg1"/>
            </w14:solidFill>
          </w14:textFill>
        </w:rPr>
        <w:t>年</w:t>
      </w:r>
      <w:r>
        <w:rPr>
          <w:rFonts w:ascii="仿宋_GB2312" w:eastAsia="仿宋_GB2312"/>
          <w:color w:val="FFFFFF" w:themeColor="background1"/>
          <w:sz w:val="32"/>
          <w:szCs w:val="32"/>
          <w:u w:val="single"/>
          <w14:textFill>
            <w14:solidFill>
              <w14:schemeClr w14:val="bg1"/>
            </w14:solidFill>
          </w14:textFill>
        </w:rPr>
        <w:t>7</w:t>
      </w:r>
      <w:r>
        <w:rPr>
          <w:rFonts w:hint="eastAsia" w:ascii="仿宋_GB2312" w:eastAsia="仿宋_GB2312"/>
          <w:color w:val="FFFFFF" w:themeColor="background1"/>
          <w:sz w:val="32"/>
          <w:szCs w:val="32"/>
          <w:u w:val="single"/>
          <w14:textFill>
            <w14:solidFill>
              <w14:schemeClr w14:val="bg1"/>
            </w14:solidFill>
          </w14:textFill>
        </w:rPr>
        <w:t>月</w:t>
      </w:r>
      <w:r>
        <w:rPr>
          <w:rFonts w:ascii="仿宋_GB2312" w:eastAsia="仿宋_GB2312"/>
          <w:color w:val="FFFFFF" w:themeColor="background1"/>
          <w:sz w:val="32"/>
          <w:szCs w:val="32"/>
          <w:u w:val="single"/>
          <w14:textFill>
            <w14:solidFill>
              <w14:schemeClr w14:val="bg1"/>
            </w14:solidFill>
          </w14:textFill>
        </w:rPr>
        <w:t>8</w:t>
      </w:r>
      <w:r>
        <w:rPr>
          <w:rFonts w:hint="eastAsia" w:ascii="仿宋_GB2312" w:eastAsia="仿宋_GB2312"/>
          <w:sz w:val="32"/>
          <w:szCs w:val="32"/>
          <w:lang w:val="en-US" w:eastAsia="zh-CN"/>
        </w:rPr>
        <w:t xml:space="preserve">  </w:t>
      </w:r>
      <w:r>
        <w:rPr>
          <w:rFonts w:hint="eastAsia" w:ascii="仿宋_GB2312" w:eastAsia="仿宋_GB2312"/>
          <w:vanish/>
          <w:sz w:val="32"/>
          <w:szCs w:val="32"/>
          <w:u w:val="single"/>
        </w:rPr>
        <w:t>：</w:t>
      </w:r>
      <w:r>
        <w:rPr>
          <w:rFonts w:ascii="仿宋_GB2312" w:eastAsia="仿宋_GB2312"/>
          <w:vanish/>
          <w:color w:val="000000" w:themeColor="text1"/>
          <w:sz w:val="32"/>
          <w:szCs w:val="32"/>
          <w:u w:val="single" w:color="000000" w:themeColor="text1"/>
        </w:rPr>
        <w:t xml:space="preserve">            </w:t>
      </w:r>
      <w:r>
        <w:rPr>
          <w:rFonts w:hint="eastAsia" w:ascii="仿宋_GB2312" w:eastAsia="仿宋_GB2312"/>
          <w:vanish/>
          <w:color w:val="000000" w:themeColor="text1"/>
          <w:sz w:val="32"/>
          <w:szCs w:val="32"/>
          <w:u w:val="single" w:color="000000" w:themeColor="text1"/>
          <w:lang w:val="en-US" w:eastAsia="zh-CN"/>
        </w:rPr>
        <w:t xml:space="preserve">    </w:t>
      </w:r>
      <w:r>
        <w:rPr>
          <w:rFonts w:hint="eastAsia" w:ascii="仿宋_GB2312" w:eastAsia="仿宋_GB2312"/>
          <w:vanish/>
          <w:sz w:val="32"/>
          <w:szCs w:val="32"/>
          <w:u w:val="single"/>
          <w:lang w:val="en-US" w:eastAsia="zh-CN"/>
        </w:rPr>
        <w:t xml:space="preserve">  </w:t>
      </w:r>
      <w:r>
        <w:rPr>
          <w:rFonts w:hint="eastAsia" w:ascii="仿宋_GB2312" w:eastAsia="仿宋_GB2312"/>
          <w:sz w:val="32"/>
          <w:szCs w:val="32"/>
          <w:u w:val="single"/>
          <w:lang w:val="en-US" w:eastAsia="zh-CN"/>
        </w:rPr>
        <w:t xml:space="preserve">                    </w:t>
      </w:r>
    </w:p>
    <w:p>
      <w:pPr>
        <w:ind w:firstLine="1920" w:firstLineChars="600"/>
        <w:rPr>
          <w:rFonts w:ascii="仿宋_GB2312" w:eastAsia="仿宋_GB2312"/>
          <w:sz w:val="32"/>
          <w:szCs w:val="32"/>
          <w:u w:val="single"/>
        </w:rPr>
      </w:pPr>
      <w:r>
        <w:rPr>
          <w:rFonts w:hint="eastAsia" w:ascii="仿宋_GB2312" w:eastAsia="仿宋_GB2312"/>
          <w:sz w:val="32"/>
          <w:szCs w:val="32"/>
        </w:rPr>
        <w:t>经</w:t>
      </w:r>
      <w:r>
        <w:rPr>
          <w:rFonts w:ascii="仿宋_GB2312" w:eastAsia="仿宋_GB2312"/>
          <w:sz w:val="32"/>
          <w:szCs w:val="32"/>
        </w:rPr>
        <w:t xml:space="preserve"> </w:t>
      </w:r>
      <w:r>
        <w:rPr>
          <w:rFonts w:hint="eastAsia" w:ascii="仿宋_GB2312" w:eastAsia="仿宋_GB2312"/>
          <w:sz w:val="32"/>
          <w:szCs w:val="32"/>
        </w:rPr>
        <w:t>办</w:t>
      </w:r>
      <w:r>
        <w:rPr>
          <w:rFonts w:ascii="仿宋_GB2312" w:eastAsia="仿宋_GB2312"/>
          <w:sz w:val="32"/>
          <w:szCs w:val="32"/>
        </w:rPr>
        <w:t xml:space="preserve"> </w:t>
      </w:r>
      <w:r>
        <w:rPr>
          <w:rFonts w:hint="eastAsia" w:ascii="仿宋_GB2312" w:eastAsia="仿宋_GB2312"/>
          <w:sz w:val="32"/>
          <w:szCs w:val="32"/>
        </w:rPr>
        <w:t>人：</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color w:val="FFFFFF" w:themeColor="background1"/>
          <w:sz w:val="32"/>
          <w:szCs w:val="32"/>
          <w:u w:val="single"/>
          <w14:textFill>
            <w14:solidFill>
              <w14:schemeClr w14:val="bg1"/>
            </w14:solidFill>
          </w14:textFill>
        </w:rPr>
        <w:t xml:space="preserve"> </w:t>
      </w:r>
      <w:r>
        <w:rPr>
          <w:rFonts w:hint="eastAsia" w:ascii="仿宋_GB2312" w:eastAsia="仿宋_GB2312"/>
          <w:color w:val="FFFFFF" w:themeColor="background1"/>
          <w:sz w:val="32"/>
          <w:szCs w:val="32"/>
          <w:u w:val="single"/>
          <w:lang w:val="en-US" w:eastAsia="zh-CN"/>
          <w14:textFill>
            <w14:solidFill>
              <w14:schemeClr w14:val="bg1"/>
            </w14:solidFill>
          </w14:textFill>
        </w:rPr>
        <w:t>寇小琴</w:t>
      </w:r>
      <w:r>
        <w:rPr>
          <w:rFonts w:ascii="仿宋_GB2312" w:eastAsia="仿宋_GB2312"/>
          <w:sz w:val="32"/>
          <w:szCs w:val="32"/>
        </w:rPr>
        <w:t xml:space="preserve"> </w:t>
      </w:r>
      <w:r>
        <w:rPr>
          <w:rFonts w:ascii="仿宋_GB2312" w:eastAsia="仿宋_GB2312"/>
          <w:sz w:val="32"/>
          <w:szCs w:val="32"/>
          <w:u w:val="single"/>
        </w:rPr>
        <w:t xml:space="preserve">               </w:t>
      </w:r>
      <w:r>
        <w:rPr>
          <w:rFonts w:ascii="仿宋_GB2312" w:eastAsia="仿宋_GB2312"/>
          <w:sz w:val="32"/>
          <w:szCs w:val="32"/>
          <w:u w:val="thick"/>
        </w:rPr>
        <w:t xml:space="preserve">      </w:t>
      </w:r>
      <w:r>
        <w:rPr>
          <w:rFonts w:ascii="仿宋_GB2312" w:eastAsia="仿宋_GB2312"/>
          <w:sz w:val="32"/>
          <w:szCs w:val="32"/>
          <w:u w:val="single"/>
        </w:rPr>
        <w:t xml:space="preserve">                         </w:t>
      </w:r>
      <w:r>
        <w:rPr>
          <w:rFonts w:ascii="仿宋_GB2312" w:eastAsia="仿宋_GB2312"/>
          <w:sz w:val="32"/>
          <w:szCs w:val="32"/>
        </w:rPr>
        <w:t xml:space="preserve">            </w:t>
      </w:r>
    </w:p>
    <w:p>
      <w:pPr>
        <w:ind w:firstLine="1920" w:firstLineChars="6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u w:val="single"/>
        </w:rPr>
        <w:t xml:space="preserve">       18919431009    </w:t>
      </w:r>
    </w:p>
    <w:p>
      <w:pPr>
        <w:ind w:firstLine="1920" w:firstLineChars="600"/>
        <w:sectPr>
          <w:pgSz w:w="11906" w:h="16838"/>
          <w:pgMar w:top="1134" w:right="1644" w:bottom="1134" w:left="1758" w:header="0" w:footer="0" w:gutter="0"/>
          <w:cols w:space="720" w:num="1"/>
          <w:formProt w:val="0"/>
          <w:docGrid w:type="lines" w:linePitch="312" w:charSpace="91954"/>
        </w:sectPr>
      </w:pPr>
      <w:r>
        <w:rPr>
          <w:rFonts w:hint="eastAsia" w:ascii="仿宋_GB2312" w:eastAsia="仿宋_GB2312"/>
          <w:sz w:val="32"/>
          <w:szCs w:val="32"/>
        </w:rPr>
        <w:t>自评时间：</w:t>
      </w:r>
      <w:r>
        <w:rPr>
          <w:rFonts w:ascii="仿宋_GB2312" w:eastAsia="仿宋_GB2312"/>
          <w:sz w:val="32"/>
          <w:szCs w:val="32"/>
          <w:u w:val="single"/>
        </w:rPr>
        <w:t xml:space="preserve">    2021</w:t>
      </w:r>
      <w:r>
        <w:rPr>
          <w:rFonts w:hint="eastAsia" w:ascii="仿宋_GB2312" w:eastAsia="仿宋_GB2312"/>
          <w:sz w:val="32"/>
          <w:szCs w:val="32"/>
          <w:u w:val="single"/>
        </w:rPr>
        <w:t>年</w:t>
      </w:r>
      <w:r>
        <w:rPr>
          <w:rFonts w:ascii="仿宋_GB2312" w:eastAsia="仿宋_GB2312"/>
          <w:sz w:val="32"/>
          <w:szCs w:val="32"/>
          <w:u w:val="single"/>
        </w:rPr>
        <w:t>7</w:t>
      </w:r>
      <w:r>
        <w:rPr>
          <w:rFonts w:hint="eastAsia" w:ascii="仿宋_GB2312" w:eastAsia="仿宋_GB2312"/>
          <w:sz w:val="32"/>
          <w:szCs w:val="32"/>
          <w:u w:val="single"/>
        </w:rPr>
        <w:t>月</w:t>
      </w:r>
      <w:r>
        <w:rPr>
          <w:rFonts w:ascii="仿宋_GB2312" w:eastAsia="仿宋_GB2312"/>
          <w:sz w:val="32"/>
          <w:szCs w:val="32"/>
          <w:u w:val="single"/>
        </w:rPr>
        <w:t>8</w:t>
      </w:r>
      <w:r>
        <w:rPr>
          <w:rFonts w:hint="eastAsia" w:ascii="仿宋_GB2312" w:eastAsia="仿宋_GB2312"/>
          <w:sz w:val="32"/>
          <w:szCs w:val="32"/>
          <w:u w:val="single"/>
        </w:rPr>
        <w:t>日</w:t>
      </w:r>
      <w:r>
        <w:rPr>
          <w:rFonts w:ascii="仿宋_GB2312" w:eastAsia="仿宋_GB2312"/>
          <w:sz w:val="32"/>
          <w:szCs w:val="32"/>
        </w:rPr>
        <w:t xml:space="preserve">  </w:t>
      </w:r>
      <w:r>
        <w:t xml:space="preserve">      </w:t>
      </w:r>
    </w:p>
    <w:p>
      <w:pPr>
        <w:pStyle w:val="8"/>
        <w:spacing w:line="580" w:lineRule="exact"/>
        <w:rPr>
          <w:rFonts w:ascii="Times New Roman" w:hAnsi="Times New Roman" w:eastAsia="仿宋_GB2312"/>
          <w:sz w:val="32"/>
          <w:szCs w:val="32"/>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Times New Roman" w:hAnsi="Times New Roman"/>
          <w:sz w:val="44"/>
          <w:szCs w:val="44"/>
        </w:rPr>
      </w:pPr>
    </w:p>
    <w:p>
      <w:pPr>
        <w:pStyle w:val="8"/>
        <w:spacing w:line="580" w:lineRule="exact"/>
        <w:jc w:val="center"/>
        <w:rPr>
          <w:rFonts w:ascii="方正小标宋简体" w:hAnsi="Times New Roman" w:eastAsia="方正小标宋简体"/>
          <w:sz w:val="44"/>
          <w:szCs w:val="44"/>
        </w:rPr>
      </w:pPr>
      <w:r>
        <w:rPr>
          <w:rFonts w:hint="eastAsia" w:ascii="方正小标宋简体" w:hAnsi="宋体" w:eastAsia="方正小标宋简体" w:cs="宋体"/>
          <w:sz w:val="44"/>
          <w:szCs w:val="44"/>
        </w:rPr>
        <w:t>摘</w:t>
      </w:r>
      <w:r>
        <w:rPr>
          <w:rFonts w:ascii="方正小标宋简体" w:hAnsi="Times New Roman" w:eastAsia="方正小标宋简体"/>
          <w:sz w:val="44"/>
          <w:szCs w:val="44"/>
        </w:rPr>
        <w:t xml:space="preserve">   </w:t>
      </w:r>
      <w:r>
        <w:rPr>
          <w:rFonts w:hint="eastAsia" w:ascii="方正小标宋简体" w:hAnsi="宋体" w:eastAsia="方正小标宋简体" w:cs="宋体"/>
          <w:sz w:val="44"/>
          <w:szCs w:val="44"/>
        </w:rPr>
        <w:t>要</w:t>
      </w:r>
      <w:r>
        <w:rPr>
          <w:rFonts w:ascii="方正小标宋简体" w:hAnsi="Times New Roman" w:eastAsia="方正小标宋简体"/>
          <w:sz w:val="44"/>
          <w:szCs w:val="44"/>
        </w:rPr>
        <w:t xml:space="preserve">                                                                                                                                                                                                                                                                                                                                  </w:t>
      </w:r>
    </w:p>
    <w:p>
      <w:pPr>
        <w:pStyle w:val="8"/>
        <w:spacing w:line="580" w:lineRule="exact"/>
        <w:rPr>
          <w:rFonts w:ascii="Times New Roman" w:hAnsi="Times New Roman" w:eastAsia="仿宋_GB2312"/>
          <w:sz w:val="32"/>
          <w:szCs w:val="32"/>
        </w:rPr>
      </w:pP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为加强白银区统计局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年度部门整体支出的使用效率，提升资金管理水平和实施成效，最大限度发挥财政资金综合效益，白银区统计局就</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年度部门整体支出的</w:t>
      </w:r>
      <w:r>
        <w:rPr>
          <w:rFonts w:ascii="Times New Roman" w:hAnsi="Times New Roman" w:eastAsia="仿宋_GB2312"/>
          <w:sz w:val="32"/>
          <w:szCs w:val="32"/>
        </w:rPr>
        <w:t>452.80</w:t>
      </w:r>
      <w:r>
        <w:rPr>
          <w:rFonts w:hint="eastAsia" w:ascii="Times New Roman" w:hAnsi="Times New Roman" w:eastAsia="仿宋_GB2312"/>
          <w:sz w:val="32"/>
          <w:szCs w:val="32"/>
        </w:rPr>
        <w:t>万元财政资金开展了绩效评价。</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本次评价遵循</w:t>
      </w:r>
      <w:r>
        <w:rPr>
          <w:rFonts w:ascii="Times New Roman" w:hAnsi="Times New Roman" w:eastAsia="仿宋_GB2312"/>
          <w:sz w:val="32"/>
          <w:szCs w:val="32"/>
        </w:rPr>
        <w:t>“</w:t>
      </w:r>
      <w:r>
        <w:rPr>
          <w:rFonts w:hint="eastAsia" w:ascii="Times New Roman" w:hAnsi="Times New Roman" w:eastAsia="仿宋_GB2312"/>
          <w:sz w:val="32"/>
          <w:szCs w:val="32"/>
        </w:rPr>
        <w:t>客观、公正、科学、规范</w:t>
      </w:r>
      <w:r>
        <w:rPr>
          <w:rFonts w:ascii="Times New Roman" w:hAnsi="Times New Roman" w:eastAsia="仿宋_GB2312"/>
          <w:sz w:val="32"/>
          <w:szCs w:val="32"/>
        </w:rPr>
        <w:t>”</w:t>
      </w:r>
      <w:r>
        <w:rPr>
          <w:rFonts w:hint="eastAsia" w:ascii="Times New Roman" w:hAnsi="Times New Roman" w:eastAsia="仿宋_GB2312"/>
          <w:sz w:val="32"/>
          <w:szCs w:val="32"/>
        </w:rPr>
        <w:t>的原则，坚持</w:t>
      </w:r>
      <w:r>
        <w:rPr>
          <w:rFonts w:ascii="Times New Roman" w:hAnsi="Times New Roman" w:eastAsia="仿宋_GB2312"/>
          <w:sz w:val="32"/>
          <w:szCs w:val="32"/>
        </w:rPr>
        <w:t>“</w:t>
      </w:r>
      <w:r>
        <w:rPr>
          <w:rFonts w:hint="eastAsia" w:ascii="Times New Roman" w:hAnsi="Times New Roman" w:eastAsia="仿宋_GB2312"/>
          <w:sz w:val="32"/>
          <w:szCs w:val="32"/>
        </w:rPr>
        <w:t>以结果为导向，基于证据</w:t>
      </w:r>
      <w:r>
        <w:rPr>
          <w:rFonts w:ascii="Times New Roman" w:hAnsi="Times New Roman" w:eastAsia="仿宋_GB2312"/>
          <w:sz w:val="32"/>
          <w:szCs w:val="32"/>
        </w:rPr>
        <w:t>”</w:t>
      </w:r>
      <w:r>
        <w:rPr>
          <w:rFonts w:hint="eastAsia" w:ascii="Times New Roman" w:hAnsi="Times New Roman" w:eastAsia="仿宋_GB2312"/>
          <w:sz w:val="32"/>
          <w:szCs w:val="32"/>
        </w:rPr>
        <w:t>的思路，采用预定目标与实施效果比较、定性与定量综合分析，对资金投入、资金使用、资金监管和资金效益做出了全面的评价。评价结果表明，</w:t>
      </w:r>
      <w:r>
        <w:rPr>
          <w:rFonts w:hint="eastAsia" w:ascii="Times New Roman" w:hAnsi="Times New Roman" w:eastAsia="仿宋_GB2312"/>
          <w:bCs/>
          <w:sz w:val="32"/>
          <w:szCs w:val="32"/>
        </w:rPr>
        <w:t>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年度</w:t>
      </w:r>
      <w:r>
        <w:rPr>
          <w:rFonts w:hint="eastAsia" w:ascii="Times New Roman" w:hAnsi="Times New Roman" w:eastAsia="仿宋_GB2312"/>
          <w:sz w:val="32"/>
          <w:szCs w:val="32"/>
        </w:rPr>
        <w:t>部门整体支出绩效评价得分为</w:t>
      </w:r>
      <w:r>
        <w:rPr>
          <w:rFonts w:ascii="Times New Roman" w:hAnsi="Times New Roman" w:eastAsia="仿宋_GB2312"/>
          <w:b/>
          <w:bCs/>
          <w:sz w:val="32"/>
          <w:szCs w:val="32"/>
        </w:rPr>
        <w:t>85</w:t>
      </w:r>
      <w:r>
        <w:rPr>
          <w:rFonts w:hint="eastAsia" w:ascii="Times New Roman" w:hAnsi="Times New Roman" w:eastAsia="仿宋_GB2312"/>
          <w:sz w:val="32"/>
          <w:szCs w:val="32"/>
        </w:rPr>
        <w:t>，此次绩效评价等级为：</w:t>
      </w:r>
      <w:r>
        <w:rPr>
          <w:rFonts w:hint="eastAsia" w:ascii="Times New Roman" w:hAnsi="Times New Roman" w:eastAsia="仿宋_GB2312"/>
          <w:b/>
          <w:sz w:val="32"/>
          <w:szCs w:val="32"/>
        </w:rPr>
        <w:t>良</w:t>
      </w:r>
      <w:r>
        <w:rPr>
          <w:rFonts w:hint="eastAsia" w:ascii="Times New Roman" w:hAnsi="Times New Roman" w:eastAsia="仿宋_GB2312"/>
          <w:b/>
          <w:bCs/>
          <w:sz w:val="32"/>
          <w:szCs w:val="32"/>
        </w:rPr>
        <w:t>。</w:t>
      </w:r>
    </w:p>
    <w:p>
      <w:pPr>
        <w:pStyle w:val="12"/>
        <w:tabs>
          <w:tab w:val="left" w:pos="748"/>
          <w:tab w:val="center" w:pos="4252"/>
        </w:tabs>
        <w:spacing w:line="580" w:lineRule="exact"/>
        <w:ind w:firstLine="640" w:firstLineChars="200"/>
        <w:jc w:val="left"/>
        <w:rPr>
          <w:rFonts w:ascii="Times New Roman" w:hAnsi="Times New Roman" w:eastAsia="黑体"/>
          <w:b/>
          <w:bCs/>
          <w:sz w:val="44"/>
          <w:szCs w:val="44"/>
        </w:rPr>
        <w:sectPr>
          <w:footerReference r:id="rId3" w:type="default"/>
          <w:pgSz w:w="11906" w:h="16838"/>
          <w:pgMar w:top="1134" w:right="1644" w:bottom="1134" w:left="1758" w:header="0" w:footer="992" w:gutter="0"/>
          <w:cols w:space="720" w:num="1"/>
          <w:formProt w:val="0"/>
          <w:docGrid w:type="lines" w:linePitch="312" w:charSpace="91954"/>
        </w:sectPr>
      </w:pPr>
      <w:r>
        <w:rPr>
          <w:rFonts w:hint="eastAsia" w:ascii="Times New Roman" w:hAnsi="Times New Roman" w:eastAsia="仿宋_GB2312"/>
          <w:sz w:val="32"/>
          <w:szCs w:val="32"/>
        </w:rPr>
        <w:t>总体认为：</w:t>
      </w:r>
      <w:r>
        <w:rPr>
          <w:rFonts w:hint="eastAsia" w:ascii="Times New Roman" w:hAnsi="Times New Roman" w:eastAsia="仿宋_GB2312"/>
          <w:bCs/>
          <w:sz w:val="32"/>
          <w:szCs w:val="32"/>
        </w:rPr>
        <w:t>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年度</w:t>
      </w:r>
      <w:r>
        <w:rPr>
          <w:rFonts w:hint="eastAsia" w:ascii="Times New Roman" w:hAnsi="Times New Roman" w:eastAsia="仿宋_GB2312"/>
          <w:sz w:val="32"/>
          <w:szCs w:val="32"/>
        </w:rPr>
        <w:t>部门整体支出预算编制合理、规范，财政资金使用合规、管理规范，监督到位；社会效益、示范带动效应和可持续影响等较明显。但在绩效目标设定、信息公开、预算执行、职责履行和项目产出等方面还有待加强。</w:t>
      </w:r>
      <w:r>
        <w:rPr>
          <w:rFonts w:ascii="Times New Roman" w:hAnsi="Times New Roman" w:eastAsia="黑体"/>
          <w:b/>
          <w:bCs/>
          <w:sz w:val="32"/>
          <w:szCs w:val="32"/>
        </w:rPr>
        <w:t xml:space="preserve">   </w:t>
      </w:r>
      <w:r>
        <w:rPr>
          <w:rFonts w:ascii="Times New Roman" w:hAnsi="Times New Roman" w:eastAsia="黑体"/>
          <w:b/>
          <w:bCs/>
          <w:sz w:val="32"/>
          <w:szCs w:val="32"/>
        </w:rPr>
        <w:tab/>
      </w:r>
      <w:r>
        <w:rPr>
          <w:rFonts w:ascii="Times New Roman" w:hAnsi="Times New Roman" w:eastAsia="黑体"/>
          <w:b/>
          <w:bCs/>
          <w:sz w:val="32"/>
          <w:szCs w:val="32"/>
        </w:rPr>
        <w:t xml:space="preserve">                       </w:t>
      </w:r>
      <w:r>
        <w:rPr>
          <w:rFonts w:ascii="Times New Roman" w:hAnsi="Times New Roman" w:eastAsia="黑体"/>
          <w:b/>
          <w:bCs/>
          <w:sz w:val="44"/>
          <w:szCs w:val="44"/>
        </w:rPr>
        <w:t xml:space="preserve">                                                                                                                                                                                                     </w:t>
      </w:r>
    </w:p>
    <w:p>
      <w:pPr>
        <w:pStyle w:val="8"/>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一、基本概况</w:t>
      </w:r>
    </w:p>
    <w:p>
      <w:pPr>
        <w:pStyle w:val="8"/>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（一）部门概况</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白银区统计局成立于</w:t>
      </w:r>
      <w:r>
        <w:rPr>
          <w:rFonts w:ascii="Times New Roman" w:hAnsi="Times New Roman" w:eastAsia="仿宋_GB2312"/>
          <w:bCs/>
          <w:sz w:val="32"/>
          <w:szCs w:val="32"/>
        </w:rPr>
        <w:t>1963</w:t>
      </w:r>
      <w:r>
        <w:rPr>
          <w:rFonts w:hint="eastAsia" w:ascii="Times New Roman" w:hAnsi="Times New Roman" w:eastAsia="仿宋_GB2312"/>
          <w:bCs/>
          <w:sz w:val="32"/>
          <w:szCs w:val="32"/>
        </w:rPr>
        <w:t>年</w:t>
      </w:r>
      <w:r>
        <w:rPr>
          <w:rFonts w:ascii="Times New Roman" w:hAnsi="Times New Roman" w:eastAsia="仿宋_GB2312"/>
          <w:bCs/>
          <w:sz w:val="32"/>
          <w:szCs w:val="32"/>
        </w:rPr>
        <w:t>10</w:t>
      </w:r>
      <w:r>
        <w:rPr>
          <w:rFonts w:hint="eastAsia" w:ascii="Times New Roman" w:hAnsi="Times New Roman" w:eastAsia="仿宋_GB2312"/>
          <w:bCs/>
          <w:sz w:val="32"/>
          <w:szCs w:val="32"/>
        </w:rPr>
        <w:t>月，属于行政事业单位，法定代表人高政德，法定地址为白银区天津路</w:t>
      </w:r>
      <w:r>
        <w:rPr>
          <w:rFonts w:ascii="Times New Roman" w:hAnsi="Times New Roman" w:eastAsia="仿宋_GB2312"/>
          <w:bCs/>
          <w:sz w:val="32"/>
          <w:szCs w:val="32"/>
        </w:rPr>
        <w:t>1</w:t>
      </w:r>
      <w:r>
        <w:rPr>
          <w:rFonts w:hint="eastAsia" w:ascii="Times New Roman" w:hAnsi="Times New Roman" w:eastAsia="仿宋_GB2312"/>
          <w:bCs/>
          <w:sz w:val="32"/>
          <w:szCs w:val="32"/>
        </w:rPr>
        <w:t>号。</w:t>
      </w:r>
    </w:p>
    <w:p>
      <w:pPr>
        <w:pStyle w:val="8"/>
        <w:spacing w:line="5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一、部门职责</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贯彻国家统计工作方针、政策和法律、法规，组织领导和协调全区统计工作，确保统计数据真实、准确、及时；拟定全区统计改革、统计建设规划；组织开展国民经济编纂，对全区国民经济、社会发展和重大政策实施情况进行跟踪监测。</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．建立健全国民经济核算体系和统计指标体系，执行全国的基本统计报表制度和国家统计标准，组织管理全区统计调查项目，审批区直各部门的统计调查计划和统计调查项目；统一管理民间统计调查活动。</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．会同有关部门在辖区范围内开展国家、省布置重大国情国力普查以及重要的社会经济调查。</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旅游、交通运输、邮政、教育、卫生、社会保障、公用事业等基本统计数据。</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w:t>
      </w:r>
      <w:r>
        <w:rPr>
          <w:rFonts w:hint="eastAsia" w:ascii="Times New Roman" w:hAnsi="Times New Roman" w:eastAsia="仿宋_GB2312"/>
          <w:bCs/>
          <w:sz w:val="32"/>
          <w:szCs w:val="32"/>
        </w:rPr>
        <w:t>．组织实施能源、投资、消费、价格、收入、科技、人口、劳动力、社会发展基本情况、环境基本状况等统计调查，收集、汇总、整理和提供有关调查的统计数据，综合整理和提供资源、房屋等基本统计数据。</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w:t>
      </w:r>
      <w:r>
        <w:rPr>
          <w:rFonts w:hint="eastAsia" w:ascii="Times New Roman" w:hAnsi="Times New Roman" w:eastAsia="仿宋_GB2312"/>
          <w:bCs/>
          <w:sz w:val="32"/>
          <w:szCs w:val="32"/>
        </w:rPr>
        <w:t>．搜集、整理、汇总全区基本统计资料；对全区国民经济、科技进步和社会发展情况进行统计分析、统计预测和统计监督，统一核定、管理、公布全区性的基本统计资料，向区委、区政府及有关部门提供统计信息决策建议。定期向社会公众发布全区国民经济和社会发展情况的统计信息。</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7</w:t>
      </w:r>
      <w:r>
        <w:rPr>
          <w:rFonts w:hint="eastAsia" w:ascii="Times New Roman" w:hAnsi="Times New Roman" w:eastAsia="仿宋_GB2312"/>
          <w:bCs/>
          <w:sz w:val="32"/>
          <w:szCs w:val="32"/>
        </w:rPr>
        <w:t>．建立健全并管理全区统计信息自动化系统和全区数据库体系，制定各乡镇、街道及区直各部门统计数据网络的基本标准和运行规则，组织协调和统一管理全区统计系统的统计数据库建设。</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8</w:t>
      </w:r>
      <w:r>
        <w:rPr>
          <w:rFonts w:hint="eastAsia" w:ascii="Times New Roman" w:hAnsi="Times New Roman" w:eastAsia="仿宋_GB2312"/>
          <w:bCs/>
          <w:sz w:val="32"/>
          <w:szCs w:val="32"/>
        </w:rPr>
        <w:t>．组织、指导全区统计干部专业理论知识和业务培训；会同主管部门组织管理全区统计专业资格考试和职务评聘。</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w:t>
      </w:r>
      <w:r>
        <w:rPr>
          <w:rFonts w:hint="eastAsia" w:ascii="Times New Roman" w:hAnsi="Times New Roman" w:eastAsia="仿宋_GB2312"/>
          <w:bCs/>
          <w:sz w:val="32"/>
          <w:szCs w:val="32"/>
        </w:rPr>
        <w:t>．组织、指导全区统计基层网络建设和统计基础工作；贯彻执行统计法律、法规，组织统计执法监督检查，依法查处统计违法行为。</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10</w:t>
      </w:r>
      <w:r>
        <w:rPr>
          <w:rFonts w:hint="eastAsia" w:ascii="Times New Roman" w:hAnsi="Times New Roman" w:eastAsia="仿宋_GB2312"/>
          <w:bCs/>
          <w:sz w:val="32"/>
          <w:szCs w:val="32"/>
        </w:rPr>
        <w:t>．管理区普查中心，开展农业普查、经济普查、人口普查等大型国情国力普查。管理区城乡社会经济调查队，指导各乡镇政府、街道办事处及区直各部门的统计工作；组织开展统计咨询服务，为社会各界提供统计服务。</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11</w:t>
      </w:r>
      <w:r>
        <w:rPr>
          <w:rFonts w:hint="eastAsia" w:ascii="Times New Roman" w:hAnsi="Times New Roman" w:eastAsia="仿宋_GB2312"/>
          <w:bCs/>
          <w:sz w:val="32"/>
          <w:szCs w:val="32"/>
        </w:rPr>
        <w:t>．承办区委、区政府和上级业务部门交办的其他事项。</w:t>
      </w:r>
    </w:p>
    <w:p>
      <w:pPr>
        <w:pStyle w:val="8"/>
        <w:spacing w:line="5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二、内设机构及人员情况</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内设机构</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白银区统计局内设机构有：白银区统计局本局，白银区城乡社会经济调查队，白银区普查中心；白银区服务业统计中心。</w:t>
      </w:r>
      <w:r>
        <w:rPr>
          <w:rFonts w:ascii="Times New Roman" w:hAnsi="Times New Roman" w:eastAsia="仿宋_GB2312"/>
          <w:bCs/>
          <w:sz w:val="32"/>
          <w:szCs w:val="32"/>
        </w:rPr>
        <w:t xml:space="preserve">  </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人员情况</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白银区统计局本局，人员编制为行政编制</w:t>
      </w:r>
      <w:r>
        <w:rPr>
          <w:rFonts w:ascii="Times New Roman" w:hAnsi="Times New Roman" w:eastAsia="仿宋_GB2312"/>
          <w:bCs/>
          <w:sz w:val="32"/>
          <w:szCs w:val="32"/>
        </w:rPr>
        <w:t>7</w:t>
      </w:r>
      <w:r>
        <w:rPr>
          <w:rFonts w:hint="eastAsia" w:ascii="Times New Roman" w:hAnsi="Times New Roman" w:eastAsia="仿宋_GB2312"/>
          <w:bCs/>
          <w:sz w:val="32"/>
          <w:szCs w:val="32"/>
        </w:rPr>
        <w:t>人，实有</w:t>
      </w:r>
      <w:r>
        <w:rPr>
          <w:rFonts w:ascii="Times New Roman" w:hAnsi="Times New Roman" w:eastAsia="仿宋_GB2312"/>
          <w:bCs/>
          <w:sz w:val="32"/>
          <w:szCs w:val="32"/>
        </w:rPr>
        <w:t>7</w:t>
      </w:r>
      <w:r>
        <w:rPr>
          <w:rFonts w:hint="eastAsia" w:ascii="Times New Roman" w:hAnsi="Times New Roman" w:eastAsia="仿宋_GB2312"/>
          <w:bCs/>
          <w:sz w:val="32"/>
          <w:szCs w:val="32"/>
        </w:rPr>
        <w:t>人；白银区城乡社会经济调查队，人员编制为事业编制</w:t>
      </w:r>
      <w:r>
        <w:rPr>
          <w:rFonts w:ascii="Times New Roman" w:hAnsi="Times New Roman" w:eastAsia="仿宋_GB2312"/>
          <w:bCs/>
          <w:sz w:val="32"/>
          <w:szCs w:val="32"/>
        </w:rPr>
        <w:t xml:space="preserve"> 5</w:t>
      </w:r>
      <w:r>
        <w:rPr>
          <w:rFonts w:hint="eastAsia" w:ascii="Times New Roman" w:hAnsi="Times New Roman" w:eastAsia="仿宋_GB2312"/>
          <w:bCs/>
          <w:sz w:val="32"/>
          <w:szCs w:val="32"/>
        </w:rPr>
        <w:t>人，实有</w:t>
      </w:r>
      <w:r>
        <w:rPr>
          <w:rFonts w:ascii="Times New Roman" w:hAnsi="Times New Roman" w:eastAsia="仿宋_GB2312"/>
          <w:bCs/>
          <w:sz w:val="32"/>
          <w:szCs w:val="32"/>
        </w:rPr>
        <w:t>5</w:t>
      </w:r>
      <w:r>
        <w:rPr>
          <w:rFonts w:hint="eastAsia" w:ascii="Times New Roman" w:hAnsi="Times New Roman" w:eastAsia="仿宋_GB2312"/>
          <w:bCs/>
          <w:sz w:val="32"/>
          <w:szCs w:val="32"/>
        </w:rPr>
        <w:t>人；普查中心为事业编制</w:t>
      </w:r>
      <w:r>
        <w:rPr>
          <w:rFonts w:ascii="Times New Roman" w:hAnsi="Times New Roman" w:eastAsia="仿宋_GB2312"/>
          <w:bCs/>
          <w:sz w:val="32"/>
          <w:szCs w:val="32"/>
        </w:rPr>
        <w:t>5</w:t>
      </w:r>
      <w:r>
        <w:rPr>
          <w:rFonts w:hint="eastAsia" w:ascii="Times New Roman" w:hAnsi="Times New Roman" w:eastAsia="仿宋_GB2312"/>
          <w:bCs/>
          <w:sz w:val="32"/>
          <w:szCs w:val="32"/>
        </w:rPr>
        <w:t>人，实有</w:t>
      </w:r>
      <w:r>
        <w:rPr>
          <w:rFonts w:ascii="Times New Roman" w:hAnsi="Times New Roman" w:eastAsia="仿宋_GB2312"/>
          <w:bCs/>
          <w:sz w:val="32"/>
          <w:szCs w:val="32"/>
        </w:rPr>
        <w:t>5</w:t>
      </w:r>
      <w:r>
        <w:rPr>
          <w:rFonts w:hint="eastAsia" w:ascii="Times New Roman" w:hAnsi="Times New Roman" w:eastAsia="仿宋_GB2312"/>
          <w:bCs/>
          <w:sz w:val="32"/>
          <w:szCs w:val="32"/>
        </w:rPr>
        <w:t>人；服务业统计中心，人员编制为事业编制</w:t>
      </w:r>
      <w:r>
        <w:rPr>
          <w:rFonts w:ascii="Times New Roman" w:hAnsi="Times New Roman" w:eastAsia="仿宋_GB2312"/>
          <w:bCs/>
          <w:sz w:val="32"/>
          <w:szCs w:val="32"/>
        </w:rPr>
        <w:t>2</w:t>
      </w:r>
      <w:r>
        <w:rPr>
          <w:rFonts w:hint="eastAsia" w:ascii="Times New Roman" w:hAnsi="Times New Roman" w:eastAsia="仿宋_GB2312"/>
          <w:bCs/>
          <w:sz w:val="32"/>
          <w:szCs w:val="32"/>
        </w:rPr>
        <w:t>人，实有</w:t>
      </w:r>
      <w:r>
        <w:rPr>
          <w:rFonts w:ascii="Times New Roman" w:hAnsi="Times New Roman" w:eastAsia="仿宋_GB2312"/>
          <w:bCs/>
          <w:sz w:val="32"/>
          <w:szCs w:val="32"/>
        </w:rPr>
        <w:t>2</w:t>
      </w:r>
      <w:r>
        <w:rPr>
          <w:rFonts w:hint="eastAsia" w:ascii="Times New Roman" w:hAnsi="Times New Roman" w:eastAsia="仿宋_GB2312"/>
          <w:bCs/>
          <w:sz w:val="32"/>
          <w:szCs w:val="32"/>
        </w:rPr>
        <w:t>人；合同制人员</w:t>
      </w:r>
      <w:r>
        <w:rPr>
          <w:rFonts w:ascii="Times New Roman" w:hAnsi="Times New Roman" w:eastAsia="仿宋_GB2312"/>
          <w:bCs/>
          <w:sz w:val="32"/>
          <w:szCs w:val="32"/>
        </w:rPr>
        <w:t>3</w:t>
      </w:r>
      <w:r>
        <w:rPr>
          <w:rFonts w:hint="eastAsia" w:ascii="Times New Roman" w:hAnsi="Times New Roman" w:eastAsia="仿宋_GB2312"/>
          <w:bCs/>
          <w:sz w:val="32"/>
          <w:szCs w:val="32"/>
        </w:rPr>
        <w:t>人，公益性岗位人员</w:t>
      </w:r>
      <w:r>
        <w:rPr>
          <w:rFonts w:ascii="Times New Roman" w:hAnsi="Times New Roman" w:eastAsia="仿宋_GB2312"/>
          <w:bCs/>
          <w:sz w:val="32"/>
          <w:szCs w:val="32"/>
        </w:rPr>
        <w:t>3</w:t>
      </w:r>
      <w:r>
        <w:rPr>
          <w:rFonts w:hint="eastAsia" w:ascii="Times New Roman" w:hAnsi="Times New Roman" w:eastAsia="仿宋_GB2312"/>
          <w:bCs/>
          <w:sz w:val="32"/>
          <w:szCs w:val="32"/>
        </w:rPr>
        <w:t>人，实有人员</w:t>
      </w:r>
      <w:r>
        <w:rPr>
          <w:rFonts w:ascii="Times New Roman" w:hAnsi="Times New Roman" w:eastAsia="仿宋_GB2312"/>
          <w:bCs/>
          <w:sz w:val="32"/>
          <w:szCs w:val="32"/>
        </w:rPr>
        <w:t>25</w:t>
      </w:r>
      <w:r>
        <w:rPr>
          <w:rFonts w:hint="eastAsia" w:ascii="Times New Roman" w:hAnsi="Times New Roman" w:eastAsia="仿宋_GB2312"/>
          <w:bCs/>
          <w:sz w:val="32"/>
          <w:szCs w:val="32"/>
        </w:rPr>
        <w:t>人。</w:t>
      </w:r>
      <w:r>
        <w:rPr>
          <w:rFonts w:ascii="Times New Roman" w:hAnsi="Times New Roman" w:eastAsia="仿宋_GB2312"/>
          <w:bCs/>
          <w:sz w:val="32"/>
          <w:szCs w:val="32"/>
        </w:rPr>
        <w:t xml:space="preserve">  </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部门收入预决算情况</w:t>
      </w:r>
    </w:p>
    <w:p>
      <w:pPr>
        <w:pStyle w:val="8"/>
        <w:spacing w:line="58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收入预算情况：</w:t>
      </w:r>
      <w:r>
        <w:rPr>
          <w:rFonts w:hint="eastAsia" w:ascii="Times New Roman" w:hAnsi="Times New Roman" w:eastAsia="仿宋_GB2312"/>
          <w:bCs/>
          <w:sz w:val="32"/>
          <w:szCs w:val="32"/>
        </w:rPr>
        <w:t>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年度年初预算数</w:t>
      </w:r>
      <w:r>
        <w:rPr>
          <w:rFonts w:ascii="Times New Roman" w:hAnsi="Times New Roman" w:eastAsia="仿宋_GB2312"/>
          <w:bCs/>
          <w:sz w:val="32"/>
          <w:szCs w:val="32"/>
        </w:rPr>
        <w:t>291.12</w:t>
      </w:r>
      <w:r>
        <w:rPr>
          <w:rFonts w:hint="eastAsia" w:ascii="Times New Roman" w:hAnsi="Times New Roman" w:eastAsia="仿宋_GB2312"/>
          <w:bCs/>
          <w:sz w:val="32"/>
          <w:szCs w:val="32"/>
        </w:rPr>
        <w:t>万元，其中：财政拨款收入为</w:t>
      </w:r>
      <w:r>
        <w:rPr>
          <w:rFonts w:ascii="Times New Roman" w:hAnsi="Times New Roman" w:eastAsia="仿宋_GB2312"/>
          <w:bCs/>
          <w:sz w:val="32"/>
          <w:szCs w:val="32"/>
        </w:rPr>
        <w:t>291.12</w:t>
      </w:r>
      <w:r>
        <w:rPr>
          <w:rFonts w:hint="eastAsia" w:ascii="Times New Roman" w:hAnsi="Times New Roman" w:eastAsia="仿宋_GB2312"/>
          <w:bCs/>
          <w:sz w:val="32"/>
          <w:szCs w:val="32"/>
        </w:rPr>
        <w:t>万元、其他收入</w:t>
      </w:r>
      <w:r>
        <w:rPr>
          <w:rFonts w:ascii="Times New Roman" w:hAnsi="Times New Roman" w:eastAsia="仿宋_GB2312"/>
          <w:bCs/>
          <w:sz w:val="32"/>
          <w:szCs w:val="32"/>
        </w:rPr>
        <w:t>0.00</w:t>
      </w:r>
      <w:r>
        <w:rPr>
          <w:rFonts w:hint="eastAsia" w:ascii="Times New Roman" w:hAnsi="Times New Roman" w:eastAsia="仿宋_GB2312"/>
          <w:bCs/>
          <w:sz w:val="32"/>
          <w:szCs w:val="32"/>
        </w:rPr>
        <w:t>万元、年初结转结余</w:t>
      </w:r>
      <w:r>
        <w:rPr>
          <w:rFonts w:ascii="Times New Roman" w:hAnsi="Times New Roman" w:eastAsia="仿宋_GB2312"/>
          <w:bCs/>
          <w:sz w:val="32"/>
          <w:szCs w:val="32"/>
        </w:rPr>
        <w:t>0</w:t>
      </w:r>
      <w:r>
        <w:rPr>
          <w:rFonts w:hint="eastAsia" w:ascii="Times New Roman" w:hAnsi="Times New Roman" w:eastAsia="仿宋_GB2312"/>
          <w:bCs/>
          <w:sz w:val="32"/>
          <w:szCs w:val="32"/>
        </w:rPr>
        <w:t>万元。</w:t>
      </w:r>
    </w:p>
    <w:p>
      <w:pPr>
        <w:pStyle w:val="8"/>
        <w:spacing w:line="58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收入预算调整情况：</w:t>
      </w:r>
      <w:r>
        <w:rPr>
          <w:rFonts w:hint="eastAsia" w:ascii="Times New Roman" w:hAnsi="Times New Roman" w:eastAsia="仿宋_GB2312"/>
          <w:bCs/>
          <w:sz w:val="32"/>
          <w:szCs w:val="32"/>
        </w:rPr>
        <w:t>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年度调整预算数</w:t>
      </w:r>
      <w:r>
        <w:rPr>
          <w:rFonts w:ascii="Times New Roman" w:hAnsi="Times New Roman" w:eastAsia="仿宋_GB2312"/>
          <w:bCs/>
          <w:sz w:val="32"/>
          <w:szCs w:val="32"/>
        </w:rPr>
        <w:t>452.90</w:t>
      </w:r>
      <w:r>
        <w:rPr>
          <w:rFonts w:hint="eastAsia" w:ascii="Times New Roman" w:hAnsi="Times New Roman" w:eastAsia="仿宋_GB2312"/>
          <w:bCs/>
          <w:sz w:val="32"/>
          <w:szCs w:val="32"/>
        </w:rPr>
        <w:t>万元，其中：财政拨款收入为</w:t>
      </w:r>
      <w:r>
        <w:rPr>
          <w:rFonts w:ascii="Times New Roman" w:hAnsi="Times New Roman" w:eastAsia="仿宋_GB2312"/>
          <w:bCs/>
          <w:sz w:val="32"/>
          <w:szCs w:val="32"/>
        </w:rPr>
        <w:t>452.80</w:t>
      </w:r>
      <w:r>
        <w:rPr>
          <w:rFonts w:hint="eastAsia" w:ascii="Times New Roman" w:hAnsi="Times New Roman" w:eastAsia="仿宋_GB2312"/>
          <w:bCs/>
          <w:sz w:val="32"/>
          <w:szCs w:val="32"/>
        </w:rPr>
        <w:t>万元、其他收入为</w:t>
      </w:r>
      <w:r>
        <w:rPr>
          <w:rFonts w:ascii="Times New Roman" w:hAnsi="Times New Roman" w:eastAsia="仿宋_GB2312"/>
          <w:bCs/>
          <w:sz w:val="32"/>
          <w:szCs w:val="32"/>
        </w:rPr>
        <w:t>0.1</w:t>
      </w:r>
      <w:r>
        <w:rPr>
          <w:rFonts w:hint="eastAsia" w:ascii="Times New Roman" w:hAnsi="Times New Roman" w:eastAsia="仿宋_GB2312"/>
          <w:bCs/>
          <w:sz w:val="32"/>
          <w:szCs w:val="32"/>
        </w:rPr>
        <w:t>万元、年初结转结余</w:t>
      </w:r>
      <w:r>
        <w:rPr>
          <w:rFonts w:ascii="Times New Roman" w:hAnsi="Times New Roman" w:eastAsia="仿宋_GB2312"/>
          <w:bCs/>
          <w:sz w:val="32"/>
          <w:szCs w:val="32"/>
        </w:rPr>
        <w:t>0</w:t>
      </w:r>
      <w:r>
        <w:rPr>
          <w:rFonts w:hint="eastAsia" w:ascii="Times New Roman" w:hAnsi="Times New Roman" w:eastAsia="仿宋_GB2312"/>
          <w:bCs/>
          <w:sz w:val="32"/>
          <w:szCs w:val="32"/>
        </w:rPr>
        <w:t>万元。</w:t>
      </w:r>
    </w:p>
    <w:p>
      <w:pPr>
        <w:pStyle w:val="8"/>
        <w:spacing w:line="58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收入决算情况：</w:t>
      </w:r>
      <w:r>
        <w:rPr>
          <w:rFonts w:hint="eastAsia" w:ascii="Times New Roman" w:hAnsi="Times New Roman" w:eastAsia="仿宋_GB2312"/>
          <w:bCs/>
          <w:sz w:val="32"/>
          <w:szCs w:val="32"/>
        </w:rPr>
        <w:t>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年收入决算数</w:t>
      </w:r>
      <w:r>
        <w:rPr>
          <w:rFonts w:ascii="Times New Roman" w:hAnsi="Times New Roman" w:eastAsia="仿宋_GB2312"/>
          <w:bCs/>
          <w:sz w:val="32"/>
          <w:szCs w:val="32"/>
        </w:rPr>
        <w:t>452.90</w:t>
      </w:r>
      <w:r>
        <w:rPr>
          <w:rFonts w:hint="eastAsia" w:ascii="Times New Roman" w:hAnsi="Times New Roman" w:eastAsia="仿宋_GB2312"/>
          <w:bCs/>
          <w:sz w:val="32"/>
          <w:szCs w:val="32"/>
        </w:rPr>
        <w:t>万元，其中：财政拨款收入为</w:t>
      </w:r>
      <w:r>
        <w:rPr>
          <w:rFonts w:ascii="Times New Roman" w:hAnsi="Times New Roman" w:eastAsia="仿宋_GB2312"/>
          <w:bCs/>
          <w:sz w:val="32"/>
          <w:szCs w:val="32"/>
        </w:rPr>
        <w:t>452.80</w:t>
      </w:r>
      <w:r>
        <w:rPr>
          <w:rFonts w:hint="eastAsia" w:ascii="Times New Roman" w:hAnsi="Times New Roman" w:eastAsia="仿宋_GB2312"/>
          <w:bCs/>
          <w:sz w:val="32"/>
          <w:szCs w:val="32"/>
        </w:rPr>
        <w:t>万元、其他收入为</w:t>
      </w:r>
      <w:r>
        <w:rPr>
          <w:rFonts w:ascii="Times New Roman" w:hAnsi="Times New Roman" w:eastAsia="仿宋_GB2312"/>
          <w:bCs/>
          <w:sz w:val="32"/>
          <w:szCs w:val="32"/>
        </w:rPr>
        <w:t>0.1</w:t>
      </w:r>
      <w:r>
        <w:rPr>
          <w:rFonts w:hint="eastAsia" w:ascii="Times New Roman" w:hAnsi="Times New Roman" w:eastAsia="仿宋_GB2312"/>
          <w:bCs/>
          <w:sz w:val="32"/>
          <w:szCs w:val="32"/>
        </w:rPr>
        <w:t>万元、年初结转结余</w:t>
      </w:r>
      <w:r>
        <w:rPr>
          <w:rFonts w:ascii="Times New Roman" w:hAnsi="Times New Roman" w:eastAsia="仿宋_GB2312"/>
          <w:bCs/>
          <w:sz w:val="32"/>
          <w:szCs w:val="32"/>
        </w:rPr>
        <w:t>0</w:t>
      </w:r>
      <w:r>
        <w:rPr>
          <w:rFonts w:hint="eastAsia" w:ascii="Times New Roman" w:hAnsi="Times New Roman" w:eastAsia="仿宋_GB2312"/>
          <w:bCs/>
          <w:sz w:val="32"/>
          <w:szCs w:val="32"/>
        </w:rPr>
        <w:t>万元。</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．部门支出预决算情况</w:t>
      </w:r>
    </w:p>
    <w:p>
      <w:pPr>
        <w:pStyle w:val="8"/>
        <w:spacing w:line="5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①按支出功能分类</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支出预算情况：白银区统计局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年年初预算数</w:t>
      </w:r>
      <w:r>
        <w:rPr>
          <w:rFonts w:ascii="Times New Roman" w:hAnsi="Times New Roman" w:eastAsia="仿宋_GB2312"/>
          <w:bCs/>
          <w:sz w:val="32"/>
          <w:szCs w:val="32"/>
        </w:rPr>
        <w:t>291.12</w:t>
      </w:r>
      <w:r>
        <w:rPr>
          <w:rFonts w:hint="eastAsia" w:ascii="Times New Roman" w:hAnsi="Times New Roman" w:eastAsia="仿宋_GB2312"/>
          <w:bCs/>
          <w:sz w:val="32"/>
          <w:szCs w:val="32"/>
        </w:rPr>
        <w:t>万元，其中：一般公共服务支出</w:t>
      </w:r>
      <w:r>
        <w:rPr>
          <w:rFonts w:ascii="Times New Roman" w:hAnsi="Times New Roman" w:eastAsia="仿宋_GB2312"/>
          <w:bCs/>
          <w:sz w:val="32"/>
          <w:szCs w:val="32"/>
        </w:rPr>
        <w:t>222.73</w:t>
      </w:r>
      <w:r>
        <w:rPr>
          <w:rFonts w:hint="eastAsia" w:ascii="Times New Roman" w:hAnsi="Times New Roman" w:eastAsia="仿宋_GB2312"/>
          <w:bCs/>
          <w:sz w:val="32"/>
          <w:szCs w:val="32"/>
        </w:rPr>
        <w:t>万元、社会保障和就业支出</w:t>
      </w:r>
      <w:r>
        <w:rPr>
          <w:rFonts w:ascii="Times New Roman" w:hAnsi="Times New Roman" w:eastAsia="仿宋_GB2312"/>
          <w:bCs/>
          <w:sz w:val="32"/>
          <w:szCs w:val="32"/>
        </w:rPr>
        <w:t>36.40</w:t>
      </w:r>
      <w:r>
        <w:rPr>
          <w:rFonts w:hint="eastAsia" w:ascii="Times New Roman" w:hAnsi="Times New Roman" w:eastAsia="仿宋_GB2312"/>
          <w:bCs/>
          <w:sz w:val="32"/>
          <w:szCs w:val="32"/>
        </w:rPr>
        <w:t>万元、卫生健康支出</w:t>
      </w:r>
      <w:r>
        <w:rPr>
          <w:rFonts w:ascii="Times New Roman" w:hAnsi="Times New Roman" w:eastAsia="仿宋_GB2312"/>
          <w:bCs/>
          <w:sz w:val="32"/>
          <w:szCs w:val="32"/>
        </w:rPr>
        <w:t>16.49</w:t>
      </w:r>
      <w:r>
        <w:rPr>
          <w:rFonts w:hint="eastAsia" w:ascii="Times New Roman" w:hAnsi="Times New Roman" w:eastAsia="仿宋_GB2312"/>
          <w:bCs/>
          <w:sz w:val="32"/>
          <w:szCs w:val="32"/>
        </w:rPr>
        <w:t>万元、住房保障支出</w:t>
      </w:r>
      <w:r>
        <w:rPr>
          <w:rFonts w:ascii="Times New Roman" w:hAnsi="Times New Roman" w:eastAsia="仿宋_GB2312"/>
          <w:bCs/>
          <w:sz w:val="32"/>
          <w:szCs w:val="32"/>
        </w:rPr>
        <w:t>15.50</w:t>
      </w:r>
      <w:r>
        <w:rPr>
          <w:rFonts w:hint="eastAsia" w:ascii="Times New Roman" w:hAnsi="Times New Roman" w:eastAsia="仿宋_GB2312"/>
          <w:bCs/>
          <w:sz w:val="32"/>
          <w:szCs w:val="32"/>
        </w:rPr>
        <w:t>万元。</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支出预算调整情况：白银区统计局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年调整预算数</w:t>
      </w:r>
      <w:r>
        <w:rPr>
          <w:rFonts w:ascii="Times New Roman" w:hAnsi="Times New Roman" w:eastAsia="仿宋_GB2312"/>
          <w:bCs/>
          <w:sz w:val="32"/>
          <w:szCs w:val="32"/>
        </w:rPr>
        <w:t>452.90</w:t>
      </w:r>
      <w:r>
        <w:rPr>
          <w:rFonts w:hint="eastAsia" w:ascii="Times New Roman" w:hAnsi="Times New Roman" w:eastAsia="仿宋_GB2312"/>
          <w:bCs/>
          <w:sz w:val="32"/>
          <w:szCs w:val="32"/>
        </w:rPr>
        <w:t>万元，其中：一般公共服务支出</w:t>
      </w:r>
      <w:r>
        <w:rPr>
          <w:rFonts w:ascii="Times New Roman" w:hAnsi="Times New Roman" w:eastAsia="仿宋_GB2312"/>
          <w:bCs/>
          <w:sz w:val="32"/>
          <w:szCs w:val="32"/>
        </w:rPr>
        <w:t>386.50</w:t>
      </w:r>
      <w:r>
        <w:rPr>
          <w:rFonts w:hint="eastAsia" w:ascii="Times New Roman" w:hAnsi="Times New Roman" w:eastAsia="仿宋_GB2312"/>
          <w:bCs/>
          <w:sz w:val="32"/>
          <w:szCs w:val="32"/>
        </w:rPr>
        <w:t>万元、社会保障和就业支出</w:t>
      </w:r>
      <w:r>
        <w:rPr>
          <w:rFonts w:ascii="Times New Roman" w:hAnsi="Times New Roman" w:eastAsia="仿宋_GB2312"/>
          <w:bCs/>
          <w:sz w:val="32"/>
          <w:szCs w:val="32"/>
        </w:rPr>
        <w:t>21.15</w:t>
      </w:r>
      <w:r>
        <w:rPr>
          <w:rFonts w:hint="eastAsia" w:ascii="Times New Roman" w:hAnsi="Times New Roman" w:eastAsia="仿宋_GB2312"/>
          <w:bCs/>
          <w:sz w:val="32"/>
          <w:szCs w:val="32"/>
        </w:rPr>
        <w:t>万元、卫生健康支出</w:t>
      </w:r>
      <w:r>
        <w:rPr>
          <w:rFonts w:ascii="Times New Roman" w:hAnsi="Times New Roman" w:eastAsia="仿宋_GB2312"/>
          <w:bCs/>
          <w:sz w:val="32"/>
          <w:szCs w:val="32"/>
        </w:rPr>
        <w:t>19.65</w:t>
      </w:r>
      <w:r>
        <w:rPr>
          <w:rFonts w:hint="eastAsia" w:ascii="Times New Roman" w:hAnsi="Times New Roman" w:eastAsia="仿宋_GB2312"/>
          <w:bCs/>
          <w:sz w:val="32"/>
          <w:szCs w:val="32"/>
        </w:rPr>
        <w:t>万元、农林水支出</w:t>
      </w:r>
      <w:r>
        <w:rPr>
          <w:rFonts w:ascii="Times New Roman" w:hAnsi="Times New Roman" w:eastAsia="仿宋_GB2312"/>
          <w:bCs/>
          <w:sz w:val="32"/>
          <w:szCs w:val="32"/>
        </w:rPr>
        <w:t>9.88</w:t>
      </w:r>
      <w:r>
        <w:rPr>
          <w:rFonts w:hint="eastAsia" w:ascii="Times New Roman" w:hAnsi="Times New Roman" w:eastAsia="仿宋_GB2312"/>
          <w:bCs/>
          <w:sz w:val="32"/>
          <w:szCs w:val="32"/>
        </w:rPr>
        <w:t>万元、住房保障支出</w:t>
      </w:r>
      <w:r>
        <w:rPr>
          <w:rFonts w:ascii="Times New Roman" w:hAnsi="Times New Roman" w:eastAsia="仿宋_GB2312"/>
          <w:bCs/>
          <w:sz w:val="32"/>
          <w:szCs w:val="32"/>
        </w:rPr>
        <w:t>15.72</w:t>
      </w:r>
      <w:r>
        <w:rPr>
          <w:rFonts w:hint="eastAsia" w:ascii="Times New Roman" w:hAnsi="Times New Roman" w:eastAsia="仿宋_GB2312"/>
          <w:bCs/>
          <w:sz w:val="32"/>
          <w:szCs w:val="32"/>
        </w:rPr>
        <w:t>万元。</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支出决算情况：白银区统计局</w:t>
      </w:r>
      <w:r>
        <w:rPr>
          <w:rFonts w:ascii="Times New Roman" w:hAnsi="Times New Roman" w:eastAsia="仿宋_GB2312"/>
          <w:bCs/>
          <w:sz w:val="32"/>
          <w:szCs w:val="32"/>
        </w:rPr>
        <w:t>202</w:t>
      </w:r>
      <w:r>
        <w:rPr>
          <w:rFonts w:hint="eastAsia" w:ascii="Times New Roman" w:hAnsi="Times New Roman" w:eastAsia="仿宋_GB2312"/>
          <w:bCs/>
          <w:sz w:val="32"/>
          <w:szCs w:val="32"/>
        </w:rPr>
        <w:t>年支出决算数</w:t>
      </w:r>
      <w:r>
        <w:rPr>
          <w:rFonts w:ascii="Times New Roman" w:hAnsi="Times New Roman" w:eastAsia="仿宋_GB2312"/>
          <w:bCs/>
          <w:sz w:val="32"/>
          <w:szCs w:val="32"/>
        </w:rPr>
        <w:t>452.90</w:t>
      </w:r>
      <w:r>
        <w:rPr>
          <w:rFonts w:hint="eastAsia" w:ascii="Times New Roman" w:hAnsi="Times New Roman" w:eastAsia="仿宋_GB2312"/>
          <w:bCs/>
          <w:sz w:val="32"/>
          <w:szCs w:val="32"/>
        </w:rPr>
        <w:t>万元，其中：一般公共服务支出</w:t>
      </w:r>
      <w:r>
        <w:rPr>
          <w:rFonts w:ascii="Times New Roman" w:hAnsi="Times New Roman" w:eastAsia="仿宋_GB2312"/>
          <w:bCs/>
          <w:sz w:val="32"/>
          <w:szCs w:val="32"/>
        </w:rPr>
        <w:t>386.50</w:t>
      </w:r>
      <w:r>
        <w:rPr>
          <w:rFonts w:hint="eastAsia" w:ascii="Times New Roman" w:hAnsi="Times New Roman" w:eastAsia="仿宋_GB2312"/>
          <w:bCs/>
          <w:sz w:val="32"/>
          <w:szCs w:val="32"/>
        </w:rPr>
        <w:t>万元、社会保障和就业支出</w:t>
      </w:r>
      <w:r>
        <w:rPr>
          <w:rFonts w:ascii="Times New Roman" w:hAnsi="Times New Roman" w:eastAsia="仿宋_GB2312"/>
          <w:bCs/>
          <w:sz w:val="32"/>
          <w:szCs w:val="32"/>
        </w:rPr>
        <w:t>21.15</w:t>
      </w:r>
      <w:r>
        <w:rPr>
          <w:rFonts w:hint="eastAsia" w:ascii="Times New Roman" w:hAnsi="Times New Roman" w:eastAsia="仿宋_GB2312"/>
          <w:bCs/>
          <w:sz w:val="32"/>
          <w:szCs w:val="32"/>
        </w:rPr>
        <w:t>万元、卫生健康支出</w:t>
      </w:r>
      <w:r>
        <w:rPr>
          <w:rFonts w:ascii="Times New Roman" w:hAnsi="Times New Roman" w:eastAsia="仿宋_GB2312"/>
          <w:bCs/>
          <w:sz w:val="32"/>
          <w:szCs w:val="32"/>
        </w:rPr>
        <w:t>19.65</w:t>
      </w:r>
      <w:r>
        <w:rPr>
          <w:rFonts w:hint="eastAsia" w:ascii="Times New Roman" w:hAnsi="Times New Roman" w:eastAsia="仿宋_GB2312"/>
          <w:bCs/>
          <w:sz w:val="32"/>
          <w:szCs w:val="32"/>
        </w:rPr>
        <w:t>万元、农林水支出</w:t>
      </w:r>
      <w:r>
        <w:rPr>
          <w:rFonts w:ascii="Times New Roman" w:hAnsi="Times New Roman" w:eastAsia="仿宋_GB2312"/>
          <w:bCs/>
          <w:sz w:val="32"/>
          <w:szCs w:val="32"/>
        </w:rPr>
        <w:t>9.88</w:t>
      </w:r>
      <w:r>
        <w:rPr>
          <w:rFonts w:hint="eastAsia" w:ascii="Times New Roman" w:hAnsi="Times New Roman" w:eastAsia="仿宋_GB2312"/>
          <w:bCs/>
          <w:sz w:val="32"/>
          <w:szCs w:val="32"/>
        </w:rPr>
        <w:t>万元、住房保障支出</w:t>
      </w:r>
      <w:r>
        <w:rPr>
          <w:rFonts w:ascii="Times New Roman" w:hAnsi="Times New Roman" w:eastAsia="仿宋_GB2312"/>
          <w:bCs/>
          <w:sz w:val="32"/>
          <w:szCs w:val="32"/>
        </w:rPr>
        <w:t>15.72</w:t>
      </w:r>
      <w:r>
        <w:rPr>
          <w:rFonts w:hint="eastAsia" w:ascii="Times New Roman" w:hAnsi="Times New Roman" w:eastAsia="仿宋_GB2312"/>
          <w:bCs/>
          <w:sz w:val="32"/>
          <w:szCs w:val="32"/>
        </w:rPr>
        <w:t>万元。</w:t>
      </w:r>
    </w:p>
    <w:p>
      <w:pPr>
        <w:pStyle w:val="8"/>
        <w:spacing w:line="5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②按支出性质和经济分类</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支出预算情况：白银区统计局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年年初预算数</w:t>
      </w:r>
      <w:r>
        <w:rPr>
          <w:rFonts w:ascii="Times New Roman" w:hAnsi="Times New Roman" w:eastAsia="仿宋_GB2312"/>
          <w:bCs/>
          <w:sz w:val="32"/>
          <w:szCs w:val="32"/>
        </w:rPr>
        <w:t>291.12</w:t>
      </w:r>
      <w:r>
        <w:rPr>
          <w:rFonts w:hint="eastAsia" w:ascii="Times New Roman" w:hAnsi="Times New Roman" w:eastAsia="仿宋_GB2312"/>
          <w:bCs/>
          <w:sz w:val="32"/>
          <w:szCs w:val="32"/>
        </w:rPr>
        <w:t>万元，其中人员经费</w:t>
      </w:r>
      <w:r>
        <w:rPr>
          <w:rFonts w:ascii="Times New Roman" w:hAnsi="Times New Roman" w:eastAsia="仿宋_GB2312"/>
          <w:bCs/>
          <w:sz w:val="32"/>
          <w:szCs w:val="32"/>
        </w:rPr>
        <w:t>216.42</w:t>
      </w:r>
      <w:r>
        <w:rPr>
          <w:rFonts w:hint="eastAsia" w:ascii="Times New Roman" w:hAnsi="Times New Roman" w:eastAsia="仿宋_GB2312"/>
          <w:bCs/>
          <w:sz w:val="32"/>
          <w:szCs w:val="32"/>
        </w:rPr>
        <w:t>万元、公用经费</w:t>
      </w:r>
      <w:r>
        <w:rPr>
          <w:rFonts w:ascii="Times New Roman" w:hAnsi="Times New Roman" w:eastAsia="仿宋_GB2312"/>
          <w:bCs/>
          <w:sz w:val="32"/>
          <w:szCs w:val="32"/>
        </w:rPr>
        <w:t>74.70</w:t>
      </w:r>
      <w:r>
        <w:rPr>
          <w:rFonts w:hint="eastAsia" w:ascii="Times New Roman" w:hAnsi="Times New Roman" w:eastAsia="仿宋_GB2312"/>
          <w:bCs/>
          <w:sz w:val="32"/>
          <w:szCs w:val="32"/>
        </w:rPr>
        <w:t>万元。</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支出决算情况：白银区统计局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年支出决算数</w:t>
      </w:r>
      <w:r>
        <w:rPr>
          <w:rFonts w:ascii="Times New Roman" w:hAnsi="Times New Roman" w:eastAsia="仿宋_GB2312"/>
          <w:bCs/>
          <w:sz w:val="32"/>
          <w:szCs w:val="32"/>
        </w:rPr>
        <w:t>452.90</w:t>
      </w:r>
      <w:r>
        <w:rPr>
          <w:rFonts w:hint="eastAsia" w:ascii="Times New Roman" w:hAnsi="Times New Roman" w:eastAsia="仿宋_GB2312"/>
          <w:bCs/>
          <w:sz w:val="32"/>
          <w:szCs w:val="32"/>
        </w:rPr>
        <w:t>万元，其中：人员经费</w:t>
      </w:r>
      <w:r>
        <w:rPr>
          <w:rFonts w:ascii="Times New Roman" w:hAnsi="Times New Roman" w:eastAsia="仿宋_GB2312"/>
          <w:bCs/>
          <w:sz w:val="32"/>
          <w:szCs w:val="32"/>
        </w:rPr>
        <w:t>240.76</w:t>
      </w:r>
      <w:r>
        <w:rPr>
          <w:rFonts w:hint="eastAsia" w:ascii="Times New Roman" w:hAnsi="Times New Roman" w:eastAsia="仿宋_GB2312"/>
          <w:bCs/>
          <w:sz w:val="32"/>
          <w:szCs w:val="32"/>
        </w:rPr>
        <w:t>万元、日常公用经费支出</w:t>
      </w:r>
      <w:r>
        <w:rPr>
          <w:rFonts w:ascii="Times New Roman" w:hAnsi="Times New Roman" w:eastAsia="仿宋_GB2312"/>
          <w:bCs/>
          <w:sz w:val="32"/>
          <w:szCs w:val="32"/>
        </w:rPr>
        <w:t>212.14</w:t>
      </w:r>
      <w:r>
        <w:rPr>
          <w:rFonts w:hint="eastAsia" w:ascii="Times New Roman" w:hAnsi="Times New Roman" w:eastAsia="仿宋_GB2312"/>
          <w:bCs/>
          <w:sz w:val="32"/>
          <w:szCs w:val="32"/>
        </w:rPr>
        <w:t>万元。工资福利支出</w:t>
      </w:r>
      <w:r>
        <w:rPr>
          <w:rFonts w:ascii="Times New Roman" w:hAnsi="Times New Roman" w:eastAsia="仿宋_GB2312"/>
          <w:bCs/>
          <w:sz w:val="32"/>
          <w:szCs w:val="32"/>
        </w:rPr>
        <w:t>191.87</w:t>
      </w:r>
      <w:r>
        <w:rPr>
          <w:rFonts w:hint="eastAsia" w:ascii="Times New Roman" w:hAnsi="Times New Roman" w:eastAsia="仿宋_GB2312"/>
          <w:bCs/>
          <w:sz w:val="32"/>
          <w:szCs w:val="32"/>
        </w:rPr>
        <w:t>万元、商品和服务支出</w:t>
      </w:r>
      <w:r>
        <w:rPr>
          <w:rFonts w:ascii="Times New Roman" w:hAnsi="Times New Roman" w:eastAsia="仿宋_GB2312"/>
          <w:bCs/>
          <w:sz w:val="32"/>
          <w:szCs w:val="32"/>
        </w:rPr>
        <w:t>155.92</w:t>
      </w:r>
      <w:r>
        <w:rPr>
          <w:rFonts w:hint="eastAsia" w:ascii="Times New Roman" w:hAnsi="Times New Roman" w:eastAsia="仿宋_GB2312"/>
          <w:bCs/>
          <w:sz w:val="32"/>
          <w:szCs w:val="32"/>
        </w:rPr>
        <w:t>万元、对个人和家庭的补助</w:t>
      </w:r>
      <w:r>
        <w:rPr>
          <w:rFonts w:ascii="Times New Roman" w:hAnsi="Times New Roman" w:eastAsia="仿宋_GB2312"/>
          <w:bCs/>
          <w:sz w:val="32"/>
          <w:szCs w:val="32"/>
        </w:rPr>
        <w:t>48.87</w:t>
      </w:r>
      <w:r>
        <w:rPr>
          <w:rFonts w:hint="eastAsia" w:ascii="Times New Roman" w:hAnsi="Times New Roman" w:eastAsia="仿宋_GB2312"/>
          <w:bCs/>
          <w:sz w:val="32"/>
          <w:szCs w:val="32"/>
        </w:rPr>
        <w:t>万元、资本性支出</w:t>
      </w:r>
      <w:r>
        <w:rPr>
          <w:rFonts w:ascii="Times New Roman" w:hAnsi="Times New Roman" w:eastAsia="仿宋_GB2312"/>
          <w:bCs/>
          <w:sz w:val="32"/>
          <w:szCs w:val="32"/>
        </w:rPr>
        <w:t>56.22</w:t>
      </w:r>
      <w:r>
        <w:rPr>
          <w:rFonts w:hint="eastAsia" w:ascii="Times New Roman" w:hAnsi="Times New Roman" w:eastAsia="仿宋_GB2312"/>
          <w:bCs/>
          <w:sz w:val="32"/>
          <w:szCs w:val="32"/>
        </w:rPr>
        <w:t>万元。</w:t>
      </w:r>
    </w:p>
    <w:p>
      <w:pPr>
        <w:pStyle w:val="8"/>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rPr>
        <w:t>三公</w:t>
      </w:r>
      <w:r>
        <w:rPr>
          <w:rFonts w:ascii="Times New Roman" w:hAnsi="Times New Roman" w:eastAsia="仿宋_GB2312"/>
          <w:bCs/>
          <w:sz w:val="32"/>
          <w:szCs w:val="32"/>
        </w:rPr>
        <w:t>”</w:t>
      </w:r>
      <w:r>
        <w:rPr>
          <w:rFonts w:hint="eastAsia" w:ascii="Times New Roman" w:hAnsi="Times New Roman" w:eastAsia="仿宋_GB2312"/>
          <w:bCs/>
          <w:sz w:val="32"/>
          <w:szCs w:val="32"/>
        </w:rPr>
        <w:t>经费支出情况：白银区统计局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年度无</w:t>
      </w:r>
      <w:r>
        <w:rPr>
          <w:rFonts w:ascii="Times New Roman" w:hAnsi="Times New Roman" w:eastAsia="仿宋_GB2312"/>
          <w:bCs/>
          <w:sz w:val="32"/>
          <w:szCs w:val="32"/>
        </w:rPr>
        <w:t>“</w:t>
      </w:r>
      <w:r>
        <w:rPr>
          <w:rFonts w:hint="eastAsia" w:ascii="Times New Roman" w:hAnsi="Times New Roman" w:eastAsia="仿宋_GB2312"/>
          <w:bCs/>
          <w:sz w:val="32"/>
          <w:szCs w:val="32"/>
        </w:rPr>
        <w:t>三公</w:t>
      </w:r>
      <w:r>
        <w:rPr>
          <w:rFonts w:ascii="Times New Roman" w:hAnsi="Times New Roman" w:eastAsia="仿宋_GB2312"/>
          <w:bCs/>
          <w:sz w:val="32"/>
          <w:szCs w:val="32"/>
        </w:rPr>
        <w:t>”</w:t>
      </w:r>
      <w:r>
        <w:rPr>
          <w:rFonts w:hint="eastAsia" w:ascii="Times New Roman" w:hAnsi="Times New Roman" w:eastAsia="仿宋_GB2312"/>
          <w:bCs/>
          <w:sz w:val="32"/>
          <w:szCs w:val="32"/>
        </w:rPr>
        <w:t>经费开支。</w:t>
      </w:r>
    </w:p>
    <w:p>
      <w:pPr>
        <w:pStyle w:val="8"/>
        <w:spacing w:line="580" w:lineRule="exact"/>
        <w:ind w:firstLine="640" w:firstLineChars="200"/>
      </w:pPr>
      <w:r>
        <w:rPr>
          <w:rFonts w:hint="eastAsia" w:ascii="Times New Roman" w:hAnsi="Times New Roman" w:eastAsia="仿宋_GB2312"/>
          <w:bCs/>
          <w:sz w:val="32"/>
          <w:szCs w:val="32"/>
        </w:rPr>
        <w:t>政府采购执行情况：白银区统计局</w:t>
      </w:r>
      <w:r>
        <w:rPr>
          <w:rFonts w:ascii="Times New Roman" w:hAnsi="Times New Roman" w:eastAsia="仿宋_GB2312"/>
          <w:bCs/>
          <w:sz w:val="32"/>
          <w:szCs w:val="32"/>
        </w:rPr>
        <w:t>2020</w:t>
      </w:r>
      <w:r>
        <w:rPr>
          <w:rFonts w:hint="eastAsia" w:ascii="Times New Roman" w:hAnsi="Times New Roman" w:eastAsia="仿宋_GB2312"/>
          <w:bCs/>
          <w:sz w:val="32"/>
          <w:szCs w:val="32"/>
        </w:rPr>
        <w:t>年度政府采购支出总额</w:t>
      </w:r>
      <w:r>
        <w:rPr>
          <w:rFonts w:ascii="Times New Roman" w:hAnsi="Times New Roman" w:eastAsia="仿宋_GB2312"/>
          <w:bCs/>
          <w:sz w:val="32"/>
          <w:szCs w:val="32"/>
        </w:rPr>
        <w:t>91.93</w:t>
      </w:r>
      <w:r>
        <w:rPr>
          <w:rFonts w:hint="eastAsia" w:ascii="Times New Roman" w:hAnsi="Times New Roman" w:eastAsia="仿宋_GB2312"/>
          <w:bCs/>
          <w:sz w:val="32"/>
          <w:szCs w:val="32"/>
        </w:rPr>
        <w:t>万元，其中：政府采购货物支出</w:t>
      </w:r>
      <w:r>
        <w:rPr>
          <w:rFonts w:ascii="Times New Roman" w:hAnsi="Times New Roman" w:eastAsia="仿宋_GB2312"/>
          <w:bCs/>
          <w:sz w:val="32"/>
          <w:szCs w:val="32"/>
        </w:rPr>
        <w:t>69.24</w:t>
      </w:r>
      <w:r>
        <w:rPr>
          <w:rFonts w:hint="eastAsia" w:ascii="Times New Roman" w:hAnsi="Times New Roman" w:eastAsia="仿宋_GB2312"/>
          <w:bCs/>
          <w:sz w:val="32"/>
          <w:szCs w:val="32"/>
        </w:rPr>
        <w:t>万元、政府采购工程支出</w:t>
      </w:r>
      <w:r>
        <w:rPr>
          <w:rFonts w:ascii="Times New Roman" w:hAnsi="Times New Roman" w:eastAsia="仿宋_GB2312"/>
          <w:bCs/>
          <w:sz w:val="32"/>
          <w:szCs w:val="32"/>
        </w:rPr>
        <w:t>0</w:t>
      </w:r>
      <w:r>
        <w:rPr>
          <w:rFonts w:hint="eastAsia" w:ascii="Times New Roman" w:hAnsi="Times New Roman" w:eastAsia="仿宋_GB2312"/>
          <w:bCs/>
          <w:sz w:val="32"/>
          <w:szCs w:val="32"/>
        </w:rPr>
        <w:t>万元、政府采购服务支出</w:t>
      </w:r>
      <w:r>
        <w:rPr>
          <w:rFonts w:ascii="Times New Roman" w:hAnsi="Times New Roman" w:eastAsia="仿宋_GB2312"/>
          <w:bCs/>
          <w:sz w:val="32"/>
          <w:szCs w:val="32"/>
        </w:rPr>
        <w:t>22.69</w:t>
      </w:r>
      <w:r>
        <w:rPr>
          <w:rFonts w:hint="eastAsia" w:ascii="Times New Roman" w:hAnsi="Times New Roman" w:eastAsia="仿宋_GB2312"/>
          <w:bCs/>
          <w:sz w:val="32"/>
          <w:szCs w:val="32"/>
        </w:rPr>
        <w:t>万元。</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．年末结转和结余情况</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年度无资金结转和结余情况。</w:t>
      </w:r>
    </w:p>
    <w:p>
      <w:pPr>
        <w:pStyle w:val="8"/>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（二）自评范围</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时间范围：</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日至</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日（评价基准日为</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资金范围：白银区统计局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年度部门整体支出资金</w:t>
      </w:r>
      <w:r>
        <w:rPr>
          <w:rFonts w:ascii="Times New Roman" w:hAnsi="Times New Roman" w:eastAsia="仿宋_GB2312"/>
          <w:bCs/>
          <w:sz w:val="32"/>
          <w:szCs w:val="32"/>
        </w:rPr>
        <w:t>452.90</w:t>
      </w:r>
      <w:r>
        <w:rPr>
          <w:rFonts w:hint="eastAsia" w:ascii="Times New Roman" w:hAnsi="Times New Roman" w:eastAsia="仿宋_GB2312"/>
          <w:sz w:val="32"/>
          <w:szCs w:val="32"/>
        </w:rPr>
        <w:t>万元（其中：人员经费支出</w:t>
      </w:r>
      <w:r>
        <w:rPr>
          <w:rFonts w:ascii="Times New Roman" w:hAnsi="Times New Roman" w:eastAsia="仿宋_GB2312"/>
          <w:bCs/>
          <w:sz w:val="32"/>
          <w:szCs w:val="32"/>
        </w:rPr>
        <w:t>240.76</w:t>
      </w:r>
      <w:r>
        <w:rPr>
          <w:rFonts w:hint="eastAsia" w:ascii="Times New Roman" w:hAnsi="Times New Roman" w:eastAsia="仿宋_GB2312"/>
          <w:sz w:val="32"/>
          <w:szCs w:val="32"/>
        </w:rPr>
        <w:t>万元，</w:t>
      </w:r>
      <w:r>
        <w:rPr>
          <w:rFonts w:hint="eastAsia" w:ascii="Times New Roman" w:hAnsi="Times New Roman" w:eastAsia="仿宋_GB2312"/>
          <w:bCs/>
          <w:sz w:val="32"/>
          <w:szCs w:val="32"/>
        </w:rPr>
        <w:t>日常公用经费支出</w:t>
      </w:r>
      <w:r>
        <w:rPr>
          <w:rFonts w:ascii="Times New Roman" w:hAnsi="Times New Roman" w:eastAsia="仿宋_GB2312"/>
          <w:bCs/>
          <w:sz w:val="32"/>
          <w:szCs w:val="32"/>
        </w:rPr>
        <w:t>212.14</w:t>
      </w:r>
      <w:r>
        <w:rPr>
          <w:rFonts w:hint="eastAsia" w:ascii="Times New Roman" w:hAnsi="Times New Roman" w:eastAsia="仿宋_GB2312"/>
          <w:bCs/>
          <w:sz w:val="32"/>
          <w:szCs w:val="32"/>
        </w:rPr>
        <w:t>万元。</w:t>
      </w:r>
      <w:r>
        <w:rPr>
          <w:rFonts w:hint="eastAsia" w:ascii="Times New Roman" w:hAnsi="Times New Roman" w:eastAsia="仿宋_GB2312"/>
          <w:sz w:val="32"/>
          <w:szCs w:val="32"/>
        </w:rPr>
        <w:t>）</w:t>
      </w:r>
    </w:p>
    <w:p>
      <w:pPr>
        <w:pStyle w:val="8"/>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（三）自评目的</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此次绩效评价分别从投入、过程、产出和效益四个方面，通过运用规范的绩效评价指标体系和科学的绩效评价方法，全面、客观的综合分析白银区统计局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的收入、支出情况，预算编制平衡性和明确性，预算配置合理性和科学行，预算执行时效性和均衡性，预算控制、监督的合规性和有效性，部门履职尽责情况，以及其产出和效益情况。在此基础上，总结出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预算绩效管理工作中的亮点和经验；同时，分析存在的问题和不足，分析找出原因所在，并针对存在的主要问题提出合理的意见建议，以便为白银区统计局部门整体以后年度预算编制、财政支出结构优化提供决策参考和依据，从而促进白银区统计局从整体上提升预算绩效管理工作水平，强化部门支出责任，规范资金管理行为，提高财政资金使用效益，保障部门更好地履行职责。</w:t>
      </w:r>
    </w:p>
    <w:p>
      <w:pPr>
        <w:pStyle w:val="8"/>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（四）自评依据</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《中华人民共和国预算法》；</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《行政许可法》；</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《行政监察法》；</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《中华人民共和国政府信息公开条例》（国务院令第</w:t>
      </w:r>
      <w:r>
        <w:rPr>
          <w:rFonts w:ascii="Times New Roman" w:hAnsi="Times New Roman" w:eastAsia="仿宋_GB2312"/>
          <w:sz w:val="32"/>
          <w:szCs w:val="32"/>
        </w:rPr>
        <w:t>492</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《党政机关厉行节约反对浪费条例》（中发〔</w:t>
      </w:r>
      <w:r>
        <w:rPr>
          <w:rFonts w:ascii="Times New Roman" w:hAnsi="Times New Roman" w:eastAsia="仿宋_GB2312"/>
          <w:sz w:val="32"/>
          <w:szCs w:val="32"/>
        </w:rPr>
        <w:t>2013</w:t>
      </w:r>
      <w:r>
        <w:rPr>
          <w:rFonts w:hint="eastAsia" w:ascii="Times New Roman" w:hAnsi="Times New Roman" w:eastAsia="仿宋_GB2312"/>
          <w:sz w:val="32"/>
          <w:szCs w:val="32"/>
        </w:rPr>
        <w:t>〕</w:t>
      </w:r>
      <w:r>
        <w:rPr>
          <w:rFonts w:ascii="Times New Roman" w:hAnsi="Times New Roman" w:eastAsia="仿宋_GB2312"/>
          <w:sz w:val="32"/>
          <w:szCs w:val="32"/>
        </w:rPr>
        <w:t>13</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《法治政府建设实施纲要（</w:t>
      </w:r>
      <w:r>
        <w:rPr>
          <w:rFonts w:ascii="Times New Roman" w:hAnsi="Times New Roman" w:eastAsia="仿宋_GB2312"/>
          <w:sz w:val="32"/>
          <w:szCs w:val="32"/>
        </w:rPr>
        <w:t>2015—2020</w:t>
      </w:r>
      <w:r>
        <w:rPr>
          <w:rFonts w:hint="eastAsia" w:ascii="Times New Roman" w:hAnsi="Times New Roman" w:eastAsia="仿宋_GB2312"/>
          <w:sz w:val="32"/>
          <w:szCs w:val="32"/>
        </w:rPr>
        <w:t>年）》；</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《全面推进依法行政实施纲要》；</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《关于全面实施预算绩效管理的意见》（中发〔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．《关于全面实施预算绩效管理实施的意见》（甘发</w:t>
      </w:r>
      <w:r>
        <w:rPr>
          <w:rFonts w:ascii="Times New Roman" w:hAnsi="Times New Roman" w:eastAsia="仿宋_GB2312"/>
          <w:sz w:val="32"/>
          <w:szCs w:val="32"/>
        </w:rPr>
        <w:t>{2018}32</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．关于深化预算管理制度改革的决定》（国发〔</w:t>
      </w:r>
      <w:r>
        <w:rPr>
          <w:rFonts w:ascii="Times New Roman" w:hAnsi="Times New Roman" w:eastAsia="仿宋_GB2312"/>
          <w:sz w:val="32"/>
          <w:szCs w:val="32"/>
        </w:rPr>
        <w:t>2014</w:t>
      </w:r>
      <w:r>
        <w:rPr>
          <w:rFonts w:hint="eastAsia" w:ascii="Times New Roman" w:hAnsi="Times New Roman" w:eastAsia="仿宋_GB2312"/>
          <w:sz w:val="32"/>
          <w:szCs w:val="32"/>
        </w:rPr>
        <w:t>〕</w:t>
      </w:r>
      <w:r>
        <w:rPr>
          <w:rFonts w:ascii="Times New Roman" w:hAnsi="Times New Roman" w:eastAsia="仿宋_GB2312"/>
          <w:sz w:val="32"/>
          <w:szCs w:val="32"/>
        </w:rPr>
        <w:t>45</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．《中共中央办公厅、国务院办公厅印发</w:t>
      </w:r>
      <w:r>
        <w:rPr>
          <w:rFonts w:ascii="Times New Roman" w:hAnsi="Times New Roman" w:eastAsia="仿宋_GB2312"/>
          <w:sz w:val="32"/>
          <w:szCs w:val="32"/>
        </w:rPr>
        <w:t>&lt;</w:t>
      </w:r>
      <w:r>
        <w:rPr>
          <w:rFonts w:hint="eastAsia" w:ascii="Times New Roman" w:hAnsi="Times New Roman" w:eastAsia="仿宋_GB2312"/>
          <w:sz w:val="32"/>
          <w:szCs w:val="32"/>
        </w:rPr>
        <w:t>关于进一步推进预算公开工作的意见</w:t>
      </w:r>
      <w:r>
        <w:rPr>
          <w:rFonts w:ascii="Times New Roman" w:hAnsi="Times New Roman" w:eastAsia="仿宋_GB2312"/>
          <w:sz w:val="32"/>
          <w:szCs w:val="32"/>
        </w:rPr>
        <w:t>&gt;</w:t>
      </w:r>
      <w:r>
        <w:rPr>
          <w:rFonts w:hint="eastAsia" w:ascii="Times New Roman" w:hAnsi="Times New Roman" w:eastAsia="仿宋_GB2312"/>
          <w:sz w:val="32"/>
          <w:szCs w:val="32"/>
        </w:rPr>
        <w:t>的通知》（中办发〔</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13</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．《国务院办公厅关于加强和改进行政应诉工作的意见》；</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w:t>
      </w:r>
      <w:r>
        <w:rPr>
          <w:rFonts w:hint="eastAsia" w:ascii="Times New Roman" w:hAnsi="Times New Roman" w:eastAsia="仿宋_GB2312"/>
          <w:sz w:val="32"/>
          <w:szCs w:val="32"/>
        </w:rPr>
        <w:t>．《财政支出绩效评价管理暂行办法》</w:t>
      </w:r>
      <w:r>
        <w:rPr>
          <w:rFonts w:ascii="Times New Roman" w:hAnsi="Times New Roman" w:eastAsia="仿宋_GB2312"/>
          <w:sz w:val="32"/>
          <w:szCs w:val="32"/>
        </w:rPr>
        <w:t>(</w:t>
      </w:r>
      <w:r>
        <w:rPr>
          <w:rFonts w:hint="eastAsia" w:ascii="Times New Roman" w:hAnsi="Times New Roman" w:eastAsia="仿宋_GB2312"/>
          <w:sz w:val="32"/>
          <w:szCs w:val="32"/>
        </w:rPr>
        <w:t>财预〔</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285</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．《预算绩效评价共性指标体系框架的通知》（财预〔</w:t>
      </w:r>
      <w:r>
        <w:rPr>
          <w:rFonts w:ascii="Times New Roman" w:hAnsi="Times New Roman" w:eastAsia="仿宋_GB2312"/>
          <w:sz w:val="32"/>
          <w:szCs w:val="32"/>
        </w:rPr>
        <w:t>2013</w:t>
      </w:r>
      <w:r>
        <w:rPr>
          <w:rFonts w:hint="eastAsia" w:ascii="Times New Roman" w:hAnsi="Times New Roman" w:eastAsia="仿宋_GB2312"/>
          <w:sz w:val="32"/>
          <w:szCs w:val="32"/>
        </w:rPr>
        <w:t>〕</w:t>
      </w:r>
      <w:r>
        <w:rPr>
          <w:rFonts w:ascii="Times New Roman" w:hAnsi="Times New Roman" w:eastAsia="仿宋_GB2312"/>
          <w:sz w:val="32"/>
          <w:szCs w:val="32"/>
        </w:rPr>
        <w:t>53</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w:t>
      </w:r>
      <w:r>
        <w:rPr>
          <w:rFonts w:hint="eastAsia" w:ascii="Times New Roman" w:hAnsi="Times New Roman" w:eastAsia="仿宋_GB2312"/>
          <w:sz w:val="32"/>
          <w:szCs w:val="32"/>
        </w:rPr>
        <w:t>．《关于深入推进地方预决算公开工作的通知》（财预〔</w:t>
      </w:r>
      <w:r>
        <w:rPr>
          <w:rFonts w:ascii="Times New Roman" w:hAnsi="Times New Roman" w:eastAsia="仿宋_GB2312"/>
          <w:sz w:val="32"/>
          <w:szCs w:val="32"/>
        </w:rPr>
        <w:t>2014</w:t>
      </w:r>
      <w:r>
        <w:rPr>
          <w:rFonts w:hint="eastAsia" w:ascii="Times New Roman" w:hAnsi="Times New Roman" w:eastAsia="仿宋_GB2312"/>
          <w:sz w:val="32"/>
          <w:szCs w:val="32"/>
        </w:rPr>
        <w:t>〕</w:t>
      </w:r>
      <w:r>
        <w:rPr>
          <w:rFonts w:ascii="Times New Roman" w:hAnsi="Times New Roman" w:eastAsia="仿宋_GB2312"/>
          <w:sz w:val="32"/>
          <w:szCs w:val="32"/>
        </w:rPr>
        <w:t>36</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w:t>
      </w:r>
      <w:r>
        <w:rPr>
          <w:rFonts w:hint="eastAsia" w:ascii="Times New Roman" w:hAnsi="Times New Roman" w:eastAsia="仿宋_GB2312"/>
          <w:sz w:val="32"/>
          <w:szCs w:val="32"/>
        </w:rPr>
        <w:t>财政部关于印发</w:t>
      </w:r>
      <w:r>
        <w:rPr>
          <w:rFonts w:ascii="Times New Roman" w:hAnsi="Times New Roman" w:eastAsia="仿宋_GB2312"/>
          <w:sz w:val="32"/>
          <w:szCs w:val="32"/>
        </w:rPr>
        <w:t>&lt;</w:t>
      </w:r>
      <w:r>
        <w:rPr>
          <w:rFonts w:hint="eastAsia" w:ascii="Times New Roman" w:hAnsi="Times New Roman" w:eastAsia="仿宋_GB2312"/>
          <w:sz w:val="32"/>
          <w:szCs w:val="32"/>
        </w:rPr>
        <w:t>地方预决算公开操作规程</w:t>
      </w:r>
      <w:r>
        <w:rPr>
          <w:rFonts w:ascii="Times New Roman" w:hAnsi="Times New Roman" w:eastAsia="仿宋_GB2312"/>
          <w:sz w:val="32"/>
          <w:szCs w:val="32"/>
        </w:rPr>
        <w:t>&gt;</w:t>
      </w:r>
      <w:r>
        <w:rPr>
          <w:rFonts w:hint="eastAsia" w:ascii="Times New Roman" w:hAnsi="Times New Roman" w:eastAsia="仿宋_GB2312"/>
          <w:sz w:val="32"/>
          <w:szCs w:val="32"/>
        </w:rPr>
        <w:t>的通知》（财预〔</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143</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．中共</w:t>
      </w:r>
      <w:r>
        <w:rPr>
          <w:rFonts w:ascii="Times New Roman" w:hAnsi="Times New Roman" w:eastAsia="仿宋_GB2312"/>
          <w:sz w:val="32"/>
          <w:szCs w:val="32"/>
        </w:rPr>
        <w:t>XX</w:t>
      </w:r>
      <w:r>
        <w:rPr>
          <w:rFonts w:hint="eastAsia" w:ascii="Times New Roman" w:hAnsi="Times New Roman" w:eastAsia="仿宋_GB2312"/>
          <w:sz w:val="32"/>
          <w:szCs w:val="32"/>
        </w:rPr>
        <w:t>省委办公厅</w:t>
      </w:r>
      <w:r>
        <w:rPr>
          <w:rFonts w:ascii="Times New Roman" w:hAnsi="Times New Roman" w:eastAsia="仿宋_GB2312"/>
          <w:sz w:val="32"/>
          <w:szCs w:val="32"/>
        </w:rPr>
        <w:t>XX</w:t>
      </w:r>
      <w:r>
        <w:rPr>
          <w:rFonts w:hint="eastAsia" w:ascii="Times New Roman" w:hAnsi="Times New Roman" w:eastAsia="仿宋_GB2312"/>
          <w:sz w:val="32"/>
          <w:szCs w:val="32"/>
        </w:rPr>
        <w:t>省人民政府办公厅印发〈关于进一步加强财政管理的意见〉的通知》（甘办发〔</w:t>
      </w:r>
      <w:r>
        <w:rPr>
          <w:rFonts w:ascii="Times New Roman" w:hAnsi="Times New Roman" w:eastAsia="仿宋_GB2312"/>
          <w:sz w:val="32"/>
          <w:szCs w:val="32"/>
        </w:rPr>
        <w:t>2014</w:t>
      </w:r>
      <w:r>
        <w:rPr>
          <w:rFonts w:hint="eastAsia" w:ascii="Times New Roman" w:hAnsi="Times New Roman" w:eastAsia="仿宋_GB2312"/>
          <w:sz w:val="32"/>
          <w:szCs w:val="32"/>
        </w:rPr>
        <w:t>〕</w:t>
      </w:r>
      <w:r>
        <w:rPr>
          <w:rFonts w:ascii="Times New Roman" w:hAnsi="Times New Roman" w:eastAsia="仿宋_GB2312"/>
          <w:sz w:val="32"/>
          <w:szCs w:val="32"/>
        </w:rPr>
        <w:t>63</w:t>
      </w:r>
      <w:r>
        <w:rPr>
          <w:rFonts w:hint="eastAsia" w:ascii="Times New Roman" w:hAnsi="Times New Roman" w:eastAsia="仿宋_GB2312"/>
          <w:sz w:val="32"/>
          <w:szCs w:val="32"/>
        </w:rPr>
        <w:t>号）；</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18.</w:t>
      </w:r>
      <w:r>
        <w:rPr>
          <w:rFonts w:hint="eastAsia" w:ascii="Times New Roman" w:hAnsi="Times New Roman" w:eastAsia="仿宋_GB2312"/>
          <w:sz w:val="32"/>
          <w:szCs w:val="32"/>
        </w:rPr>
        <w:t>央、省、市主管部门的相关业务管理、财务管理等文件规定；</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19.</w:t>
      </w:r>
      <w:r>
        <w:rPr>
          <w:rFonts w:hint="eastAsia" w:ascii="Times New Roman" w:hAnsi="Times New Roman" w:eastAsia="仿宋_GB2312"/>
          <w:sz w:val="32"/>
          <w:szCs w:val="32"/>
        </w:rPr>
        <w:t>白银区统计局内部控制管理制度。</w:t>
      </w:r>
    </w:p>
    <w:p>
      <w:pPr>
        <w:pStyle w:val="8"/>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（五）自评小组</w:t>
      </w:r>
    </w:p>
    <w:p>
      <w:pPr>
        <w:pStyle w:val="8"/>
        <w:spacing w:line="580" w:lineRule="exact"/>
        <w:ind w:firstLine="640" w:firstLineChars="200"/>
        <w:jc w:val="center"/>
        <w:rPr>
          <w:rFonts w:ascii="黑体" w:hAnsi="Times New Roman" w:eastAsia="黑体"/>
          <w:sz w:val="32"/>
          <w:szCs w:val="32"/>
        </w:rPr>
      </w:pPr>
      <w:r>
        <w:rPr>
          <w:rFonts w:hint="eastAsia" w:ascii="黑体" w:hAnsi="Times New Roman" w:eastAsia="黑体"/>
          <w:sz w:val="32"/>
          <w:szCs w:val="32"/>
        </w:rPr>
        <w:t>白银区统计局</w:t>
      </w:r>
      <w:r>
        <w:rPr>
          <w:rFonts w:ascii="黑体" w:hAnsi="Times New Roman" w:eastAsia="黑体"/>
          <w:sz w:val="32"/>
          <w:szCs w:val="32"/>
        </w:rPr>
        <w:t>2020</w:t>
      </w:r>
      <w:r>
        <w:rPr>
          <w:rFonts w:hint="eastAsia" w:ascii="黑体" w:hAnsi="Times New Roman" w:eastAsia="黑体"/>
          <w:sz w:val="32"/>
          <w:szCs w:val="32"/>
        </w:rPr>
        <w:t>年度部门</w:t>
      </w:r>
    </w:p>
    <w:p>
      <w:pPr>
        <w:pStyle w:val="8"/>
        <w:spacing w:line="580" w:lineRule="exact"/>
        <w:ind w:firstLine="640" w:firstLineChars="200"/>
        <w:jc w:val="center"/>
        <w:rPr>
          <w:rFonts w:ascii="黑体" w:hAnsi="Times New Roman" w:eastAsia="黑体"/>
          <w:b/>
          <w:sz w:val="32"/>
          <w:szCs w:val="32"/>
        </w:rPr>
      </w:pPr>
      <w:r>
        <w:rPr>
          <w:rFonts w:hint="eastAsia" w:ascii="黑体" w:hAnsi="Times New Roman" w:eastAsia="黑体"/>
          <w:sz w:val="32"/>
          <w:szCs w:val="32"/>
        </w:rPr>
        <w:t>整体支出绩效评价自评小组名单</w:t>
      </w:r>
    </w:p>
    <w:p>
      <w:pPr>
        <w:pStyle w:val="8"/>
        <w:spacing w:line="580" w:lineRule="exact"/>
        <w:ind w:firstLine="643" w:firstLineChars="200"/>
        <w:jc w:val="center"/>
        <w:rPr>
          <w:rFonts w:ascii="Times New Roman" w:hAnsi="Times New Roman" w:eastAsia="仿宋"/>
          <w:b/>
          <w:sz w:val="32"/>
          <w:szCs w:val="32"/>
        </w:rPr>
      </w:pPr>
    </w:p>
    <w:p>
      <w:pPr>
        <w:pStyle w:val="8"/>
        <w:tabs>
          <w:tab w:val="left" w:pos="680"/>
          <w:tab w:val="center" w:pos="4473"/>
        </w:tabs>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组</w:t>
      </w:r>
      <w:r>
        <w:rPr>
          <w:rFonts w:ascii="Times New Roman" w:hAnsi="Times New Roman" w:eastAsia="仿宋_GB2312"/>
          <w:sz w:val="32"/>
          <w:szCs w:val="32"/>
        </w:rPr>
        <w:t xml:space="preserve">  </w:t>
      </w:r>
      <w:r>
        <w:rPr>
          <w:rFonts w:hint="eastAsia" w:ascii="Times New Roman" w:hAnsi="Times New Roman" w:eastAsia="仿宋_GB2312"/>
          <w:sz w:val="32"/>
          <w:szCs w:val="32"/>
        </w:rPr>
        <w:t>长：高政德</w:t>
      </w:r>
      <w:r>
        <w:rPr>
          <w:rFonts w:ascii="Times New Roman" w:hAnsi="Times New Roman" w:eastAsia="仿宋_GB2312"/>
          <w:sz w:val="32"/>
          <w:szCs w:val="32"/>
        </w:rPr>
        <w:t xml:space="preserve">  </w:t>
      </w:r>
      <w:r>
        <w:rPr>
          <w:rFonts w:hint="eastAsia" w:ascii="Times New Roman" w:hAnsi="Times New Roman" w:eastAsia="仿宋_GB2312"/>
          <w:sz w:val="32"/>
          <w:szCs w:val="32"/>
        </w:rPr>
        <w:t>白银区统计局局长</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副组长：陈其伟</w:t>
      </w:r>
      <w:r>
        <w:rPr>
          <w:rFonts w:ascii="Times New Roman" w:hAnsi="Times New Roman" w:eastAsia="仿宋_GB2312"/>
          <w:sz w:val="32"/>
          <w:szCs w:val="32"/>
        </w:rPr>
        <w:t xml:space="preserve">  </w:t>
      </w:r>
      <w:r>
        <w:rPr>
          <w:rFonts w:hint="eastAsia" w:ascii="Times New Roman" w:hAnsi="Times New Roman" w:eastAsia="仿宋_GB2312"/>
          <w:sz w:val="32"/>
          <w:szCs w:val="32"/>
        </w:rPr>
        <w:t>白银区统计局副局长</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w:t>
      </w:r>
      <w:r>
        <w:rPr>
          <w:rFonts w:ascii="Times New Roman" w:hAnsi="Times New Roman" w:eastAsia="仿宋_GB2312"/>
          <w:sz w:val="32"/>
          <w:szCs w:val="32"/>
        </w:rPr>
        <w:t xml:space="preserve">  </w:t>
      </w:r>
      <w:r>
        <w:rPr>
          <w:rFonts w:hint="eastAsia" w:ascii="Times New Roman" w:hAnsi="Times New Roman" w:eastAsia="仿宋_GB2312"/>
          <w:sz w:val="32"/>
          <w:szCs w:val="32"/>
        </w:rPr>
        <w:t>员：张宸豪</w:t>
      </w:r>
      <w:r>
        <w:rPr>
          <w:rFonts w:ascii="Times New Roman" w:hAnsi="Times New Roman" w:eastAsia="仿宋_GB2312"/>
          <w:sz w:val="32"/>
          <w:szCs w:val="32"/>
        </w:rPr>
        <w:t xml:space="preserve">  </w:t>
      </w:r>
      <w:r>
        <w:rPr>
          <w:rFonts w:hint="eastAsia" w:ascii="Times New Roman" w:hAnsi="Times New Roman" w:eastAsia="仿宋_GB2312"/>
          <w:sz w:val="32"/>
          <w:szCs w:val="32"/>
        </w:rPr>
        <w:t>白银区统计局办公室主任</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寇小琴</w:t>
      </w:r>
      <w:r>
        <w:rPr>
          <w:rFonts w:ascii="Times New Roman" w:hAnsi="Times New Roman" w:eastAsia="仿宋_GB2312"/>
          <w:sz w:val="32"/>
          <w:szCs w:val="32"/>
        </w:rPr>
        <w:t xml:space="preserve">  </w:t>
      </w:r>
      <w:r>
        <w:rPr>
          <w:rFonts w:hint="eastAsia" w:ascii="Times New Roman" w:hAnsi="Times New Roman" w:eastAsia="仿宋_GB2312"/>
          <w:sz w:val="32"/>
          <w:szCs w:val="32"/>
        </w:rPr>
        <w:t>白银区统计局会计</w:t>
      </w:r>
    </w:p>
    <w:p>
      <w:pPr>
        <w:pStyle w:val="8"/>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沈桂霞</w:t>
      </w:r>
      <w:r>
        <w:rPr>
          <w:rFonts w:ascii="Times New Roman" w:hAnsi="Times New Roman" w:eastAsia="仿宋_GB2312"/>
          <w:sz w:val="32"/>
          <w:szCs w:val="32"/>
        </w:rPr>
        <w:t xml:space="preserve">  </w:t>
      </w:r>
      <w:r>
        <w:rPr>
          <w:rFonts w:hint="eastAsia" w:ascii="Times New Roman" w:hAnsi="Times New Roman" w:eastAsia="仿宋_GB2312"/>
          <w:sz w:val="32"/>
          <w:szCs w:val="32"/>
        </w:rPr>
        <w:t>白银区统计局出纳</w:t>
      </w:r>
    </w:p>
    <w:p>
      <w:pPr>
        <w:ind w:firstLine="630" w:firstLineChars="196"/>
        <w:rPr>
          <w:rFonts w:ascii="Times New Roman" w:hAnsi="Times New Roman" w:eastAsia="楷体_GB2312"/>
          <w:b/>
          <w:kern w:val="2"/>
          <w:sz w:val="32"/>
          <w:szCs w:val="32"/>
        </w:rPr>
      </w:pPr>
      <w:r>
        <w:rPr>
          <w:rFonts w:hint="eastAsia" w:ascii="Times New Roman" w:hAnsi="Times New Roman" w:eastAsia="楷体_GB2312"/>
          <w:b/>
          <w:kern w:val="2"/>
          <w:sz w:val="32"/>
          <w:szCs w:val="32"/>
        </w:rPr>
        <w:t>（六）自评思路</w:t>
      </w:r>
    </w:p>
    <w:p>
      <w:pPr>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为确保绩效评价顺利推进，自评小组明确了评价思路：</w:t>
      </w:r>
    </w:p>
    <w:p>
      <w:pPr>
        <w:pStyle w:val="8"/>
        <w:spacing w:line="580" w:lineRule="exact"/>
        <w:ind w:firstLine="420" w:firstLineChars="200"/>
        <w:rPr>
          <w:rFonts w:ascii="Times New Roman" w:hAnsi="Times New Roman" w:eastAsia="仿宋_GB2312"/>
          <w:sz w:val="32"/>
          <w:szCs w:val="32"/>
        </w:rPr>
      </w:pPr>
      <w:r>
        <w:pict>
          <v:group id="画布 4" o:spid="_x0000_s1026" o:spt="203" style="position:absolute;left:0pt;margin-left:-9pt;margin-top:-165.6pt;height:666pt;width:415.6pt;mso-wrap-distance-bottom:0pt;mso-wrap-distance-left:9pt;mso-wrap-distance-right:9pt;mso-wrap-distance-top:0pt;z-index:-251657216;mso-width-relative:page;mso-height-relative:page;" coordsize="5277600,7380720">
            <o:lock v:ext="edit"/>
            <v:rect id="_x0000_s1027" o:spid="_x0000_s1027" o:spt="1" style="position:absolute;left:0;top:0;height:7380720;width:5277600;" filled="f" stroked="f" coordsize="21600,21600">
              <v:path/>
              <v:fill on="f" focussize="0,0"/>
              <v:stroke on="f" weight="0pt"/>
              <v:imagedata o:title=""/>
              <o:lock v:ext="edit"/>
            </v:rect>
            <v:rect id="_x0000_s1028" o:spid="_x0000_s1028" o:spt="1" style="position:absolute;left:1467360;top:744840;height:428760;width:2562120;" filled="f" coordsize="21600,21600">
              <v:path/>
              <v:fill on="f" focussize="0,0"/>
              <v:stroke weight="0.510236220472441pt"/>
              <v:imagedata o:title=""/>
              <o:lock v:ext="edit"/>
              <v:textbox inset="2.5mm,1.25mm,2.5mm,1.25mm">
                <w:txbxContent>
                  <w:p>
                    <w:pPr>
                      <w:overflowPunct w:val="0"/>
                      <w:jc w:val="center"/>
                    </w:pPr>
                    <w:r>
                      <w:rPr>
                        <w:rFonts w:hint="eastAsia" w:ascii="仿宋_GB2312" w:hAnsi="仿宋_GB2312" w:eastAsia="仿宋_GB2312"/>
                      </w:rPr>
                      <w:t>召开项目分析会</w:t>
                    </w:r>
                  </w:p>
                </w:txbxContent>
              </v:textbox>
            </v:rect>
            <v:rect id="_x0000_s1029" o:spid="_x0000_s1029" o:spt="1" style="position:absolute;left:1324440;top:2397240;height:428760;width:2867040;" filled="f" coordsize="21600,21600">
              <v:path/>
              <v:fill on="f" focussize="0,0"/>
              <v:stroke weight="0.510236220472441pt"/>
              <v:imagedata o:title=""/>
              <o:lock v:ext="edit"/>
              <v:textbox inset="2.5mm,1.25mm,2.5mm,1.25mm">
                <w:txbxContent>
                  <w:p>
                    <w:pPr>
                      <w:overflowPunct w:val="0"/>
                      <w:jc w:val="center"/>
                    </w:pPr>
                    <w:r>
                      <w:rPr>
                        <w:rFonts w:hint="eastAsia" w:ascii="宋体" w:hAnsi="宋体"/>
                      </w:rPr>
                      <w:t>召开方案研讨，确定实施方案</w:t>
                    </w:r>
                  </w:p>
                </w:txbxContent>
              </v:textbox>
            </v:rect>
            <v:rect id="_x0000_s1030" o:spid="_x0000_s1030" o:spt="1" style="position:absolute;left:1324440;top:1523880;height:429120;width:2867040;" filled="f" coordsize="21600,21600">
              <v:path/>
              <v:fill on="f" focussize="0,0"/>
              <v:stroke weight="0.510236220472441pt"/>
              <v:imagedata o:title=""/>
              <o:lock v:ext="edit"/>
              <v:textbox inset="2.5mm,1.25mm,2.5mm,1.25mm">
                <w:txbxContent>
                  <w:p>
                    <w:pPr>
                      <w:overflowPunct w:val="0"/>
                      <w:jc w:val="center"/>
                    </w:pPr>
                    <w:r>
                      <w:rPr>
                        <w:rFonts w:hint="eastAsia" w:ascii="宋体" w:hAnsi="宋体"/>
                      </w:rPr>
                      <w:t>收集评价资料，制定评价方案</w:t>
                    </w:r>
                  </w:p>
                </w:txbxContent>
              </v:textbox>
            </v:rect>
            <v:rect id="_x0000_s1031" o:spid="_x0000_s1031" o:spt="1" style="position:absolute;left:1896120;top:3179520;height:428760;width:1742400;" filled="f" coordsize="21600,21600">
              <v:path/>
              <v:fill on="f" focussize="0,0"/>
              <v:stroke weight="0.510236220472441pt"/>
              <v:imagedata o:title=""/>
              <o:lock v:ext="edit"/>
              <v:textbox inset="2.5mm,1.25mm,2.5mm,1.25mm">
                <w:txbxContent>
                  <w:p>
                    <w:pPr>
                      <w:overflowPunct w:val="0"/>
                      <w:jc w:val="center"/>
                    </w:pPr>
                    <w:r>
                      <w:rPr>
                        <w:rFonts w:hint="eastAsia" w:ascii="宋体" w:hAnsi="宋体"/>
                      </w:rPr>
                      <w:t>开展评价工作</w:t>
                    </w:r>
                  </w:p>
                </w:txbxContent>
              </v:textbox>
            </v:rect>
            <v:rect id="_x0000_s1032" o:spid="_x0000_s1032" o:spt="1" style="position:absolute;left:504720;top:3789000;height:428760;width:1276200;" filled="f" coordsize="21600,21600">
              <v:path/>
              <v:fill on="f" focussize="0,0"/>
              <v:stroke weight="0.510236220472441pt"/>
              <v:imagedata o:title=""/>
              <o:lock v:ext="edit"/>
              <v:textbox inset="2.5mm,1.25mm,2.5mm,1.25mm">
                <w:txbxContent>
                  <w:p>
                    <w:pPr>
                      <w:overflowPunct w:val="0"/>
                      <w:jc w:val="center"/>
                    </w:pPr>
                    <w:r>
                      <w:rPr>
                        <w:rFonts w:hint="eastAsia" w:ascii="仿宋_GB2312" w:hAnsi="仿宋_GB2312" w:eastAsia="仿宋_GB2312"/>
                      </w:rPr>
                      <w:t>收集资料</w:t>
                    </w:r>
                  </w:p>
                </w:txbxContent>
              </v:textbox>
            </v:rect>
            <v:rect id="_x0000_s1033" o:spid="_x0000_s1033" o:spt="1" style="position:absolute;left:3763080;top:3789000;height:428760;width:1276200;" filled="f" coordsize="21600,21600">
              <v:path/>
              <v:fill on="f" focussize="0,0"/>
              <v:stroke weight="0.510236220472441pt"/>
              <v:imagedata o:title=""/>
              <o:lock v:ext="edit"/>
              <v:textbox inset="2.5mm,1.25mm,2.5mm,1.25mm">
                <w:txbxContent>
                  <w:p>
                    <w:pPr>
                      <w:overflowPunct w:val="0"/>
                      <w:jc w:val="center"/>
                    </w:pPr>
                    <w:r>
                      <w:rPr>
                        <w:rFonts w:hint="eastAsia" w:eastAsia="仿宋_GB2312"/>
                      </w:rPr>
                      <w:t>组织打分</w:t>
                    </w:r>
                  </w:p>
                </w:txbxContent>
              </v:textbox>
            </v:rect>
            <v:rect id="_x0000_s1034" o:spid="_x0000_s1034" o:spt="1" style="position:absolute;left:1905480;top:4464720;height:437400;width:1742400;" filled="f" coordsize="21600,21600">
              <v:path/>
              <v:fill on="f" focussize="0,0"/>
              <v:stroke weight="0.510236220472441pt"/>
              <v:imagedata o:title=""/>
              <o:lock v:ext="edit"/>
              <v:textbox inset="2.5mm,1.25mm,2.5mm,1.25mm">
                <w:txbxContent>
                  <w:p>
                    <w:pPr>
                      <w:overflowPunct w:val="0"/>
                      <w:jc w:val="left"/>
                      <w:rPr>
                        <w:rFonts w:ascii="宋体"/>
                      </w:rPr>
                    </w:pPr>
                    <w:r>
                      <w:rPr>
                        <w:rFonts w:hint="eastAsia" w:ascii="宋体" w:hAnsi="宋体"/>
                      </w:rPr>
                      <w:t>整理资料、分析数据</w:t>
                    </w:r>
                  </w:p>
                </w:txbxContent>
              </v:textbox>
            </v:rect>
            <v:shape id="_x0000_s1035" o:spid="_x0000_s1035" o:spt="32" type="#_x0000_t32" style="position:absolute;left:2719800;top:1173960;flip:x;height:349200;width:3960;" filled="f" coordsize="21600,21600">
              <v:path arrowok="t"/>
              <v:fill on="f" focussize="0,0"/>
              <v:stroke weight="0.510236220472441pt" joinstyle="miter" endarrow="open"/>
              <v:imagedata o:title=""/>
              <o:lock v:ext="edit"/>
            </v:shape>
            <v:shape id="_x0000_s1036" o:spid="_x0000_s1036" o:spt="32" type="#_x0000_t32" style="position:absolute;left:2724840;top:2022480;height:374040;width:3960;" filled="f" coordsize="21600,21600">
              <v:path arrowok="t"/>
              <v:fill on="f" focussize="0,0"/>
              <v:stroke weight="0.510236220472441pt" joinstyle="miter" endarrow="open"/>
              <v:imagedata o:title=""/>
              <o:lock v:ext="edit"/>
            </v:shape>
            <v:rect id="_x0000_s1037" o:spid="_x0000_s1037" o:spt="1" style="position:absolute;left:1905480;top:5284440;height:438120;width:1742400;" filled="f" coordsize="21600,21600">
              <v:path/>
              <v:fill on="f" focussize="0,0"/>
              <v:stroke weight="0.510236220472441pt"/>
              <v:imagedata o:title=""/>
              <o:lock v:ext="edit"/>
              <v:textbox inset="2.5mm,1.25mm,2.5mm,1.25mm">
                <w:txbxContent>
                  <w:p>
                    <w:pPr>
                      <w:overflowPunct w:val="0"/>
                      <w:jc w:val="left"/>
                    </w:pPr>
                    <w:r>
                      <w:rPr>
                        <w:rFonts w:hint="eastAsia" w:ascii="宋体" w:hAnsi="宋体"/>
                      </w:rPr>
                      <w:t>撰写报告、形成初稿</w:t>
                    </w:r>
                  </w:p>
                </w:txbxContent>
              </v:textbox>
            </v:rect>
            <v:rect id="_x0000_s1038" o:spid="_x0000_s1038" o:spt="1" style="position:absolute;left:1905480;top:6094800;height:437400;width:1742400;" filled="f" coordsize="21600,21600">
              <v:path/>
              <v:fill on="f" focussize="0,0"/>
              <v:stroke weight="0.510236220472441pt"/>
              <v:imagedata o:title=""/>
              <o:lock v:ext="edit"/>
              <v:textbox inset="2.5mm,1.25mm,2.5mm,1.25mm">
                <w:txbxContent>
                  <w:p>
                    <w:pPr>
                      <w:overflowPunct w:val="0"/>
                      <w:jc w:val="left"/>
                    </w:pPr>
                    <w:r>
                      <w:rPr>
                        <w:rFonts w:hint="eastAsia" w:ascii="宋体" w:hAnsi="宋体"/>
                      </w:rPr>
                      <w:t>修改完善、最终定稿</w:t>
                    </w:r>
                  </w:p>
                </w:txbxContent>
              </v:textbox>
            </v:rect>
            <v:rect id="_x0000_s1039" o:spid="_x0000_s1039" o:spt="1" style="position:absolute;left:1905480;top:6942960;height:437400;width:1742400;" filled="f" coordsize="21600,21600">
              <v:path/>
              <v:fill on="f" focussize="0,0"/>
              <v:stroke weight="0.510236220472441pt"/>
              <v:imagedata o:title=""/>
              <o:lock v:ext="edit"/>
              <v:textbox inset="2.5mm,1.25mm,2.5mm,1.25mm">
                <w:txbxContent>
                  <w:p>
                    <w:pPr>
                      <w:overflowPunct w:val="0"/>
                      <w:jc w:val="center"/>
                    </w:pPr>
                    <w:r>
                      <w:rPr>
                        <w:rFonts w:hint="eastAsia" w:ascii="宋体" w:hAnsi="宋体"/>
                      </w:rPr>
                      <w:t>提交报告</w:t>
                    </w:r>
                  </w:p>
                </w:txbxContent>
              </v:textbox>
            </v:rect>
            <v:shape id="_x0000_s1040" o:spid="_x0000_s1040" o:spt="32" type="#_x0000_t32" style="position:absolute;left:2724840;top:2827080;height:352440;width:720;" filled="f" coordsize="21600,21600">
              <v:path arrowok="t"/>
              <v:fill on="f" focussize="0,0"/>
              <v:stroke weight="0pt" endarrow="open"/>
              <v:imagedata o:title=""/>
              <o:lock v:ext="edit"/>
            </v:shape>
            <v:shape id="_x0000_s1041" o:spid="_x0000_s1041" o:spt="32" type="#_x0000_t32" style="position:absolute;left:1142280;top:3394080;flip:x;height:393840;width:752400;" filled="f" coordsize="21600,21600">
              <v:path arrowok="t"/>
              <v:fill on="f" focussize="0,0"/>
              <v:stroke weight="0pt" endarrow="open"/>
              <v:imagedata o:title=""/>
              <o:lock v:ext="edit"/>
            </v:shape>
            <v:shape id="_x0000_s1042" o:spid="_x0000_s1042" o:spt="32" type="#_x0000_t32" style="position:absolute;left:3649320;top:3394080;height:393840;width:752400;" filled="f" coordsize="21600,21600">
              <v:path arrowok="t"/>
              <v:fill on="f" focussize="0,0"/>
              <v:stroke weight="0pt" endarrow="open"/>
              <v:imagedata o:title=""/>
              <o:lock v:ext="edit"/>
            </v:shape>
            <v:shape id="_x0000_s1043" o:spid="_x0000_s1043" o:spt="32" type="#_x0000_t32" style="position:absolute;left:1143000;top:4218480;height:465480;width:762120;" filled="f" coordsize="21600,21600">
              <v:path arrowok="t"/>
              <v:fill on="f" focussize="0,0"/>
              <v:stroke weight="0pt" endarrow="open"/>
              <v:imagedata o:title=""/>
              <o:lock v:ext="edit"/>
            </v:shape>
            <v:shape id="_x0000_s1044" o:spid="_x0000_s1044" o:spt="32" type="#_x0000_t32" style="position:absolute;left:3648240;top:4218480;flip:x;height:465480;width:752400;" filled="f" coordsize="21600,21600">
              <v:path arrowok="t"/>
              <v:fill on="f" focussize="0,0"/>
              <v:stroke weight="0pt" endarrow="open"/>
              <v:imagedata o:title=""/>
              <o:lock v:ext="edit"/>
            </v:shape>
            <v:shape id="_x0000_s1045" o:spid="_x0000_s1045" o:spt="32" type="#_x0000_t32" style="position:absolute;left:2738880;top:4902840;flip:x;height:387360;width:720;" filled="f" coordsize="21600,21600">
              <v:path arrowok="t"/>
              <v:fill on="f" focussize="0,0"/>
              <v:stroke weight="0pt" endarrow="open"/>
              <v:imagedata o:title=""/>
              <o:lock v:ext="edit"/>
            </v:shape>
            <v:shape id="_x0000_s1046" o:spid="_x0000_s1046" o:spt="32" type="#_x0000_t32" style="position:absolute;left:2739240;top:5732640;height:358200;width:720;" filled="f" coordsize="21600,21600">
              <v:path arrowok="t"/>
              <v:fill on="f" focussize="0,0"/>
              <v:stroke weight="0pt" endarrow="open"/>
              <v:imagedata o:title=""/>
              <o:lock v:ext="edit"/>
            </v:shape>
            <v:shape id="_x0000_s1047" o:spid="_x0000_s1047" o:spt="32" type="#_x0000_t32" style="position:absolute;left:2739240;top:6523200;height:425520;width:720;" filled="f" coordsize="21600,21600">
              <v:path arrowok="t"/>
              <v:fill on="f" focussize="0,0"/>
              <v:stroke weight="0pt" endarrow="open"/>
              <v:imagedata o:title=""/>
              <o:lock v:ext="edit"/>
            </v:shape>
            <w10:wrap type="square"/>
          </v:group>
        </w:pict>
      </w:r>
    </w:p>
    <w:p>
      <w:pPr>
        <w:pStyle w:val="8"/>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二、组织实施情况</w:t>
      </w:r>
      <w:r>
        <w:rPr>
          <w:rFonts w:ascii="Times New Roman" w:hAnsi="Times New Roman" w:eastAsia="黑体"/>
          <w:sz w:val="32"/>
          <w:szCs w:val="32"/>
        </w:rPr>
        <w:t xml:space="preserve"> </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为了加强白银区统计局政府部门整体支出区级配套资金使用管理绩效，提升资金管理水平和实施成效，发挥资金使用效益，优化财政支出结构。</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月，区统计局根据绩效工作相关要求，高度重视绩效评价工作，积极行动、迅速召集会议，对白银区统计局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年度部门整体支出绩效评价工作进行安排部署，开展客观、公平、公正的绩效自评工作。</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自评小组组织召开分析会，选取科学的绩效评价方式，制定绩效评价工作方案，整理汇总分析数据。</w:t>
      </w:r>
    </w:p>
    <w:p>
      <w:pPr>
        <w:pStyle w:val="8"/>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（一）前期准备</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成立评价小组</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为加强对本次评价工作的组织和管理，于</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月成立了白银区统计局自评小组，负责绩效评价的组织协调等全面工作。</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召开前期分析会</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绩效评价自评小组就白银区统计局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年度部门整体支出区级配套资金绩效评价项目进行梳理，分析了绩效评价的目的，明确了绩效评价的内容，确定了绩效评价的关注点和评价方式。</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构建指标体系</w:t>
      </w:r>
    </w:p>
    <w:p>
      <w:pPr>
        <w:pStyle w:val="8"/>
        <w:spacing w:line="58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自评小组按照相关性、重要性、可比性、系统性及经济性原则，根据绩效评价关注点、评价需要和项目实际，分别从投入、过程、产出、效益四个方面构建了本次绩效评价的指标体系。</w:t>
      </w:r>
    </w:p>
    <w:p>
      <w:pPr>
        <w:pStyle w:val="10"/>
        <w:spacing w:before="0" w:after="0" w:line="580" w:lineRule="exact"/>
        <w:ind w:firstLine="643" w:firstLineChars="200"/>
        <w:rPr>
          <w:rFonts w:ascii="Times New Roman" w:hAnsi="Times New Roman" w:eastAsia="楷体_GB2312"/>
        </w:rPr>
      </w:pPr>
      <w:bookmarkStart w:id="0" w:name="_Toc18431"/>
      <w:r>
        <w:rPr>
          <w:rFonts w:hint="eastAsia" w:ascii="Times New Roman" w:hAnsi="Times New Roman" w:eastAsia="楷体_GB2312"/>
        </w:rPr>
        <w:t>（二）制定方案</w:t>
      </w:r>
      <w:bookmarkEnd w:id="0"/>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根据白银区财政局关于对白银区统计局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年度部门整体支出区级配套资金绩效评价的要求，自评小组制定了《白银区统计局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年度部门整体支出绩效评价实施方案》，方案紧扣部门整体支出预算编制、</w:t>
      </w:r>
      <w:r>
        <w:rPr>
          <w:rFonts w:ascii="Times New Roman" w:hAnsi="Times New Roman" w:eastAsia="仿宋_GB2312"/>
          <w:sz w:val="32"/>
          <w:szCs w:val="32"/>
        </w:rPr>
        <w:t xml:space="preserve"> </w:t>
      </w:r>
      <w:r>
        <w:rPr>
          <w:rFonts w:hint="eastAsia" w:ascii="Times New Roman" w:hAnsi="Times New Roman" w:eastAsia="仿宋_GB2312"/>
          <w:sz w:val="32"/>
          <w:szCs w:val="32"/>
        </w:rPr>
        <w:t>预算安排和预算执行，以及资金使用产出和效益等情况进行评价，并从资料收集、绩效打分和报告撰写等方面对本次绩效评价工作进行了详细地安排部署。</w:t>
      </w:r>
    </w:p>
    <w:p>
      <w:pPr>
        <w:pStyle w:val="8"/>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（三）组织实施</w:t>
      </w:r>
      <w:r>
        <w:rPr>
          <w:rFonts w:ascii="Times New Roman" w:hAnsi="Times New Roman" w:eastAsia="楷体_GB2312"/>
          <w:b/>
          <w:sz w:val="32"/>
          <w:szCs w:val="32"/>
        </w:rPr>
        <w:t xml:space="preserve"> </w:t>
      </w:r>
    </w:p>
    <w:p>
      <w:pPr>
        <w:pStyle w:val="8"/>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收集数据资料</w:t>
      </w:r>
    </w:p>
    <w:p>
      <w:pPr>
        <w:pStyle w:val="8"/>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根据评价小组的安排部署和绩效评价实施方案的要求，为保质保量地完成绩效评价工作，将绩效评价工作落到实处，白银区统计局按照绩效评价实施方案，自评小组在评价工作开展前期，则进行了资料的收集、整理和分析，以充分了解评价整体情况。</w:t>
      </w:r>
    </w:p>
    <w:p>
      <w:pPr>
        <w:pStyle w:val="8"/>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．组织实施</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体现绩效评价打分的公正性和科学性，结合实际情况，对相关资料进行了整理和分析。根据部门整体预算编制和执行情况，履职情况及效益情况，通过实事求是、客观公正地进行打分，计算出绩效评价分数，按照财政部关于《规范绩效评价结果等级划分的通知》（财预便〔</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 xml:space="preserve">44 </w:t>
      </w:r>
      <w:r>
        <w:rPr>
          <w:rFonts w:hint="eastAsia" w:ascii="Times New Roman" w:hAnsi="Times New Roman" w:eastAsia="仿宋_GB2312"/>
          <w:sz w:val="32"/>
          <w:szCs w:val="32"/>
        </w:rPr>
        <w:t>号），确定评价等级。</w:t>
      </w:r>
    </w:p>
    <w:p>
      <w:pPr>
        <w:pStyle w:val="8"/>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．撰写评价报告</w:t>
      </w:r>
    </w:p>
    <w:p>
      <w:pPr>
        <w:pStyle w:val="8"/>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保质保量的按时完成绩效评价工作任务，自评小组广泛收集数据、整理汇总、系统分析的基础上，按照绩效评价报告框架，从绩效评价开展情况、绩效分析、评价结论、主要经验及做法、存在问题及原因分析、相关工作建议等方面对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年度部门整体支出绩效评价报告进行认真撰写。</w:t>
      </w:r>
    </w:p>
    <w:p>
      <w:pPr>
        <w:pStyle w:val="9"/>
        <w:spacing w:before="0" w:after="0" w:line="58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三、绩效目标实现程度</w:t>
      </w:r>
    </w:p>
    <w:p>
      <w:pPr>
        <w:pStyle w:val="9"/>
        <w:spacing w:before="0" w:after="0" w:line="580" w:lineRule="exact"/>
        <w:ind w:firstLine="630" w:firstLineChars="196"/>
        <w:rPr>
          <w:rFonts w:ascii="Times New Roman" w:hAnsi="Times New Roman" w:eastAsia="楷体_GB2312"/>
          <w:sz w:val="32"/>
          <w:szCs w:val="32"/>
        </w:rPr>
      </w:pPr>
      <w:r>
        <w:rPr>
          <w:rFonts w:hint="eastAsia" w:ascii="Times New Roman" w:hAnsi="Times New Roman" w:eastAsia="楷体_GB2312"/>
          <w:sz w:val="32"/>
          <w:szCs w:val="32"/>
        </w:rPr>
        <w:t>（一）自评评分表</w:t>
      </w:r>
    </w:p>
    <w:p>
      <w:pPr>
        <w:pStyle w:val="8"/>
        <w:spacing w:line="580" w:lineRule="exact"/>
        <w:ind w:firstLine="640" w:firstLineChars="200"/>
        <w:rPr>
          <w:rFonts w:hint="eastAsia" w:ascii="Times New Roman" w:hAnsi="Times New Roman" w:eastAsia="仿宋_GB2312"/>
          <w:sz w:val="32"/>
          <w:szCs w:val="32"/>
        </w:rPr>
      </w:pPr>
    </w:p>
    <w:tbl>
      <w:tblPr>
        <w:tblStyle w:val="4"/>
        <w:tblW w:w="9360" w:type="dxa"/>
        <w:tblInd w:w="93" w:type="dxa"/>
        <w:shd w:val="clear" w:color="auto" w:fill="auto"/>
        <w:tblLayout w:type="autofit"/>
        <w:tblCellMar>
          <w:top w:w="0" w:type="dxa"/>
          <w:left w:w="108" w:type="dxa"/>
          <w:bottom w:w="0" w:type="dxa"/>
          <w:right w:w="108" w:type="dxa"/>
        </w:tblCellMar>
      </w:tblPr>
      <w:tblGrid>
        <w:gridCol w:w="1609"/>
        <w:gridCol w:w="1609"/>
        <w:gridCol w:w="4237"/>
        <w:gridCol w:w="952"/>
        <w:gridCol w:w="953"/>
      </w:tblGrid>
      <w:tr>
        <w:tblPrEx>
          <w:tblCellMar>
            <w:top w:w="0" w:type="dxa"/>
            <w:left w:w="108" w:type="dxa"/>
            <w:bottom w:w="0" w:type="dxa"/>
            <w:right w:w="108" w:type="dxa"/>
          </w:tblCellMar>
        </w:tblPrEx>
        <w:trPr>
          <w:trHeight w:val="620" w:hRule="atLeast"/>
        </w:trPr>
        <w:tc>
          <w:tcPr>
            <w:tcW w:w="9360" w:type="dxa"/>
            <w:gridSpan w:val="5"/>
            <w:tcBorders>
              <w:top w:val="nil"/>
              <w:left w:val="nil"/>
              <w:bottom w:val="nil"/>
              <w:right w:val="nil"/>
            </w:tcBorders>
            <w:shd w:val="clear" w:color="auto" w:fill="auto"/>
            <w:noWrap/>
            <w:vAlign w:val="center"/>
          </w:tcPr>
          <w:p>
            <w:pPr>
              <w:pStyle w:val="8"/>
              <w:spacing w:line="580" w:lineRule="exact"/>
              <w:jc w:val="center"/>
              <w:rPr>
                <w:rFonts w:ascii="Times New Roman" w:hAnsi="Times New Roman" w:eastAsia="仿宋_GB2312"/>
                <w:b/>
                <w:bCs/>
                <w:sz w:val="28"/>
                <w:szCs w:val="32"/>
              </w:rPr>
            </w:pPr>
            <w:r>
              <w:rPr>
                <w:rFonts w:hint="eastAsia" w:ascii="Times New Roman" w:hAnsi="Times New Roman" w:eastAsia="仿宋_GB2312"/>
                <w:b/>
                <w:kern w:val="0"/>
                <w:sz w:val="28"/>
              </w:rPr>
              <w:t>白银区统计局</w:t>
            </w:r>
            <w:r>
              <w:rPr>
                <w:rFonts w:ascii="Times New Roman" w:hAnsi="Times New Roman" w:eastAsia="仿宋_GB2312"/>
                <w:b/>
                <w:bCs/>
                <w:sz w:val="28"/>
                <w:szCs w:val="32"/>
              </w:rPr>
              <w:t>2020</w:t>
            </w:r>
            <w:r>
              <w:rPr>
                <w:rFonts w:hint="eastAsia" w:ascii="Times New Roman" w:hAnsi="Times New Roman" w:eastAsia="仿宋_GB2312"/>
                <w:b/>
                <w:bCs/>
                <w:sz w:val="28"/>
                <w:szCs w:val="32"/>
              </w:rPr>
              <w:t>年度部门整体支出绩效评价打分表</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预算编制合理性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预算编制规范性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财政拨款收入预决算差异率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目标设定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目标明确性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提前下达率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财政供养人员控制率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职责履行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职责履行情况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职责履行及时性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重点工作办结情况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pPr>
        <w:pStyle w:val="8"/>
        <w:spacing w:line="580" w:lineRule="exact"/>
        <w:ind w:firstLine="640" w:firstLineChars="200"/>
        <w:rPr>
          <w:rFonts w:hint="eastAsia" w:ascii="Times New Roman" w:hAnsi="Times New Roman" w:eastAsia="仿宋_GB2312"/>
          <w:sz w:val="32"/>
          <w:szCs w:val="32"/>
        </w:rPr>
        <w:sectPr>
          <w:footerReference r:id="rId4" w:type="default"/>
          <w:pgSz w:w="11906" w:h="16838"/>
          <w:pgMar w:top="1440" w:right="1701" w:bottom="1440" w:left="1701" w:header="0" w:footer="992" w:gutter="0"/>
          <w:cols w:space="720" w:num="1"/>
          <w:formProt w:val="0"/>
          <w:docGrid w:type="lines" w:linePitch="312" w:charSpace="91954"/>
        </w:sectPr>
      </w:pPr>
    </w:p>
    <w:p>
      <w:pPr>
        <w:pStyle w:val="9"/>
        <w:spacing w:before="0" w:after="0" w:line="580" w:lineRule="exact"/>
        <w:ind w:firstLine="630" w:firstLineChars="196"/>
        <w:rPr>
          <w:rFonts w:ascii="Times New Roman" w:hAnsi="Times New Roman" w:eastAsia="楷体_GB2312"/>
          <w:sz w:val="32"/>
          <w:szCs w:val="32"/>
        </w:rPr>
      </w:pPr>
      <w:r>
        <w:rPr>
          <w:rFonts w:hint="eastAsia" w:ascii="Times New Roman" w:hAnsi="Times New Roman" w:eastAsia="楷体_GB2312"/>
          <w:sz w:val="32"/>
          <w:szCs w:val="32"/>
        </w:rPr>
        <w:t>（二）绩效分析</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白银区统计局</w:t>
      </w:r>
      <w:r>
        <w:rPr>
          <w:rFonts w:ascii="Times New Roman" w:hAnsi="Times New Roman" w:eastAsia="仿宋_GB2312"/>
          <w:sz w:val="32"/>
          <w:szCs w:val="32"/>
        </w:rPr>
        <w:t xml:space="preserve">2020 </w:t>
      </w:r>
      <w:r>
        <w:rPr>
          <w:rFonts w:hint="eastAsia" w:ascii="Times New Roman" w:hAnsi="Times New Roman" w:eastAsia="仿宋_GB2312"/>
          <w:sz w:val="32"/>
          <w:szCs w:val="32"/>
        </w:rPr>
        <w:t>年度部门整体支出绩效评价工作是结合了本单位工作职责、</w:t>
      </w:r>
      <w:r>
        <w:rPr>
          <w:rFonts w:ascii="Times New Roman" w:hAnsi="Times New Roman" w:eastAsia="仿宋_GB2312"/>
          <w:sz w:val="32"/>
          <w:szCs w:val="32"/>
        </w:rPr>
        <w:t>2020</w:t>
      </w:r>
      <w:r>
        <w:rPr>
          <w:rFonts w:hint="eastAsia" w:ascii="Times New Roman" w:hAnsi="Times New Roman" w:eastAsia="仿宋_GB2312"/>
          <w:sz w:val="32"/>
          <w:szCs w:val="32"/>
        </w:rPr>
        <w:t>年重点工作计划等实际情况，进行全面、客观的分析评价。此次绩效评价主要从预算编制、目标设定预算执行、财务管理和</w:t>
      </w:r>
      <w:r>
        <w:rPr>
          <w:rFonts w:hint="eastAsia" w:ascii="Times New Roman" w:hAnsi="Times New Roman" w:eastAsia="仿宋_GB2312"/>
          <w:bCs/>
          <w:sz w:val="32"/>
          <w:szCs w:val="32"/>
        </w:rPr>
        <w:t>人员管理</w:t>
      </w:r>
      <w:r>
        <w:rPr>
          <w:rFonts w:hint="eastAsia" w:ascii="Times New Roman" w:hAnsi="Times New Roman" w:eastAsia="仿宋_GB2312"/>
          <w:sz w:val="32"/>
          <w:szCs w:val="32"/>
        </w:rPr>
        <w:t>等方面进行绩效分析，总分设置为</w:t>
      </w:r>
      <w:r>
        <w:rPr>
          <w:rFonts w:ascii="Times New Roman" w:hAnsi="Times New Roman" w:eastAsia="仿宋_GB2312"/>
          <w:sz w:val="32"/>
          <w:szCs w:val="32"/>
        </w:rPr>
        <w:t>100</w:t>
      </w:r>
      <w:r>
        <w:rPr>
          <w:rFonts w:hint="eastAsia" w:ascii="Times New Roman" w:hAnsi="Times New Roman" w:eastAsia="仿宋_GB2312"/>
          <w:sz w:val="32"/>
          <w:szCs w:val="32"/>
        </w:rPr>
        <w:t>分；其中：投入类指标分值为</w:t>
      </w:r>
      <w:r>
        <w:rPr>
          <w:rFonts w:ascii="Times New Roman" w:hAnsi="Times New Roman" w:eastAsia="仿宋_GB2312"/>
          <w:sz w:val="32"/>
          <w:szCs w:val="32"/>
        </w:rPr>
        <w:t>20</w:t>
      </w:r>
      <w:r>
        <w:rPr>
          <w:rFonts w:hint="eastAsia" w:ascii="Times New Roman" w:hAnsi="Times New Roman" w:eastAsia="仿宋_GB2312"/>
          <w:sz w:val="32"/>
          <w:szCs w:val="32"/>
        </w:rPr>
        <w:t>分（目标设定、预算编制），过程类指标分值为</w:t>
      </w:r>
      <w:r>
        <w:rPr>
          <w:rFonts w:ascii="Times New Roman" w:hAnsi="Times New Roman" w:eastAsia="仿宋_GB2312"/>
          <w:sz w:val="32"/>
          <w:szCs w:val="32"/>
        </w:rPr>
        <w:t>35</w:t>
      </w:r>
      <w:r>
        <w:rPr>
          <w:rFonts w:hint="eastAsia" w:ascii="Times New Roman" w:hAnsi="Times New Roman" w:eastAsia="仿宋_GB2312"/>
          <w:sz w:val="32"/>
          <w:szCs w:val="32"/>
        </w:rPr>
        <w:t>预算执行、财务管理、</w:t>
      </w:r>
      <w:r>
        <w:rPr>
          <w:rFonts w:hint="eastAsia" w:ascii="Times New Roman" w:hAnsi="Times New Roman" w:eastAsia="仿宋_GB2312"/>
          <w:bCs/>
          <w:sz w:val="32"/>
          <w:szCs w:val="32"/>
        </w:rPr>
        <w:t>人员管理、制度管理</w:t>
      </w:r>
      <w:r>
        <w:rPr>
          <w:rFonts w:hint="eastAsia" w:ascii="Times New Roman" w:hAnsi="Times New Roman" w:eastAsia="仿宋_GB2312"/>
          <w:sz w:val="32"/>
          <w:szCs w:val="32"/>
        </w:rPr>
        <w:t>），产出类指标分值为</w:t>
      </w:r>
      <w:r>
        <w:rPr>
          <w:rFonts w:ascii="Times New Roman" w:hAnsi="Times New Roman" w:eastAsia="仿宋_GB2312"/>
          <w:sz w:val="32"/>
          <w:szCs w:val="32"/>
        </w:rPr>
        <w:t>25</w:t>
      </w:r>
      <w:r>
        <w:rPr>
          <w:rFonts w:hint="eastAsia" w:ascii="Times New Roman" w:hAnsi="Times New Roman" w:eastAsia="仿宋_GB2312"/>
          <w:sz w:val="32"/>
          <w:szCs w:val="32"/>
        </w:rPr>
        <w:t>分（职责履行），效益类指标分值为</w:t>
      </w:r>
      <w:r>
        <w:rPr>
          <w:rFonts w:ascii="Times New Roman" w:hAnsi="Times New Roman" w:eastAsia="仿宋_GB2312"/>
          <w:sz w:val="32"/>
          <w:szCs w:val="32"/>
        </w:rPr>
        <w:t>20</w:t>
      </w:r>
      <w:r>
        <w:rPr>
          <w:rFonts w:hint="eastAsia" w:ascii="Times New Roman" w:hAnsi="Times New Roman" w:eastAsia="仿宋_GB2312"/>
          <w:sz w:val="32"/>
          <w:szCs w:val="32"/>
        </w:rPr>
        <w:t>分（社会效益、可持续发展效益）。根据评分标准，指标测评达到相应评分标准要求的记满分，不能达到标准要求的根据评分标准打分，得分最低的为</w:t>
      </w:r>
      <w:r>
        <w:rPr>
          <w:rFonts w:ascii="Times New Roman" w:hAnsi="Times New Roman" w:eastAsia="仿宋_GB2312"/>
          <w:sz w:val="32"/>
          <w:szCs w:val="32"/>
        </w:rPr>
        <w:t>0</w:t>
      </w:r>
      <w:r>
        <w:rPr>
          <w:rFonts w:hint="eastAsia" w:ascii="Times New Roman" w:hAnsi="Times New Roman" w:eastAsia="仿宋_GB2312"/>
          <w:sz w:val="32"/>
          <w:szCs w:val="32"/>
        </w:rPr>
        <w:t>分。</w:t>
      </w:r>
    </w:p>
    <w:p>
      <w:pPr>
        <w:pStyle w:val="8"/>
        <w:tabs>
          <w:tab w:val="left" w:pos="615"/>
        </w:tabs>
        <w:spacing w:line="580" w:lineRule="exact"/>
        <w:rPr>
          <w:rFonts w:ascii="Times New Roman" w:hAnsi="Times New Roman" w:eastAsia="楷体_GB2312"/>
          <w:b/>
          <w:bCs/>
          <w:sz w:val="32"/>
          <w:szCs w:val="32"/>
        </w:rPr>
      </w:pPr>
      <w:r>
        <w:rPr>
          <w:rFonts w:ascii="Times New Roman" w:hAnsi="Times New Roman" w:eastAsia="楷体_GB2312"/>
          <w:b/>
          <w:bCs/>
          <w:sz w:val="32"/>
          <w:szCs w:val="32"/>
        </w:rPr>
        <w:t xml:space="preserve">     1</w:t>
      </w:r>
      <w:r>
        <w:rPr>
          <w:rFonts w:hint="eastAsia" w:ascii="Times New Roman" w:hAnsi="Times New Roman" w:eastAsia="楷体_GB2312"/>
          <w:b/>
          <w:bCs/>
          <w:sz w:val="32"/>
          <w:szCs w:val="32"/>
        </w:rPr>
        <w:t>．投入</w:t>
      </w:r>
      <w:r>
        <w:rPr>
          <w:rFonts w:ascii="Times New Roman" w:hAnsi="Times New Roman" w:eastAsia="楷体_GB2312"/>
          <w:b/>
          <w:bCs/>
          <w:sz w:val="32"/>
          <w:szCs w:val="32"/>
        </w:rPr>
        <w:t>20</w:t>
      </w:r>
      <w:r>
        <w:rPr>
          <w:rFonts w:hint="eastAsia" w:ascii="Times New Roman" w:hAnsi="Times New Roman" w:eastAsia="楷体_GB2312"/>
          <w:b/>
          <w:bCs/>
          <w:sz w:val="32"/>
          <w:szCs w:val="32"/>
        </w:rPr>
        <w:t>分（</w:t>
      </w:r>
      <w:r>
        <w:rPr>
          <w:rFonts w:ascii="Times New Roman" w:hAnsi="Times New Roman" w:eastAsia="楷体_GB2312"/>
          <w:b/>
          <w:bCs/>
          <w:sz w:val="32"/>
          <w:szCs w:val="32"/>
        </w:rPr>
        <w:t>-2.5</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投入作为绩效评价的一级指标，向下可分解为目标设定、预算编制</w:t>
      </w:r>
      <w:r>
        <w:rPr>
          <w:rFonts w:ascii="Times New Roman" w:hAnsi="Times New Roman" w:eastAsia="仿宋_GB2312"/>
          <w:sz w:val="32"/>
          <w:szCs w:val="32"/>
        </w:rPr>
        <w:t>2</w:t>
      </w:r>
      <w:r>
        <w:rPr>
          <w:rFonts w:hint="eastAsia" w:ascii="Times New Roman" w:hAnsi="Times New Roman" w:eastAsia="仿宋_GB2312"/>
          <w:sz w:val="32"/>
          <w:szCs w:val="32"/>
        </w:rPr>
        <w:t>项二级指标，主要用于反映和考核区统计局所设立的整体绩效目标依据是否充分，是否符合客观实际，用以反映和考核部门整体绩效目标与部门履职、年度工作任务的相符性情况；绩效目标所设定的绩效指标是否清晰、细化、可衡量，用以反映和考核部门整体绩效目标的明细化情况；预算编制是否遵循了量入为出和收支平衡的原则，从严控制各项支出，是否统筹兼顾，突出重点，确保重点工作和项目的落实，是否坚持综合预算的原则，统筹安排预算内外资金，部门绩效目标设定的明确性和合理性等。</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根据此次绩效评价情况了解和所收集资料数据等综合性分析可知，</w:t>
      </w:r>
      <w:r>
        <w:rPr>
          <w:rFonts w:ascii="Times New Roman" w:hAnsi="Times New Roman" w:eastAsia="仿宋_GB2312"/>
          <w:sz w:val="32"/>
          <w:szCs w:val="32"/>
        </w:rPr>
        <w:t>2020</w:t>
      </w:r>
      <w:r>
        <w:rPr>
          <w:rFonts w:hint="eastAsia" w:ascii="Times New Roman" w:hAnsi="Times New Roman" w:eastAsia="仿宋_GB2312"/>
          <w:sz w:val="32"/>
          <w:szCs w:val="32"/>
        </w:rPr>
        <w:t>年区统计局预算编制合理、相对规范，但财政拨款预决算差异率较大，主要原因是因为</w:t>
      </w:r>
      <w:r>
        <w:rPr>
          <w:rFonts w:ascii="Times New Roman" w:hAnsi="Times New Roman" w:eastAsia="仿宋_GB2312"/>
          <w:sz w:val="32"/>
          <w:szCs w:val="32"/>
        </w:rPr>
        <w:t>2020</w:t>
      </w:r>
      <w:r>
        <w:rPr>
          <w:rFonts w:hint="eastAsia" w:ascii="Times New Roman" w:hAnsi="Times New Roman" w:eastAsia="仿宋_GB2312"/>
          <w:sz w:val="32"/>
          <w:szCs w:val="32"/>
        </w:rPr>
        <w:t>年开展了第七次人口普查，导致省市专项的下达不能提前预知，只有到当年收到省市专项资金下达文件后，方可以知晓当年的专项资金和具体数额。</w:t>
      </w:r>
    </w:p>
    <w:p>
      <w:pPr>
        <w:pStyle w:val="8"/>
        <w:spacing w:line="580" w:lineRule="exact"/>
        <w:ind w:firstLine="630" w:firstLineChars="196"/>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ascii="Times New Roman" w:hAnsi="Times New Roman" w:eastAsia="楷体_GB2312"/>
          <w:b/>
          <w:bCs/>
          <w:sz w:val="32"/>
          <w:szCs w:val="32"/>
        </w:rPr>
        <w:t>1</w:t>
      </w:r>
      <w:r>
        <w:rPr>
          <w:rFonts w:hint="eastAsia" w:ascii="Times New Roman" w:hAnsi="Times New Roman" w:eastAsia="楷体_GB2312"/>
          <w:b/>
          <w:bCs/>
          <w:sz w:val="32"/>
          <w:szCs w:val="32"/>
        </w:rPr>
        <w:t>）目标设定</w:t>
      </w:r>
      <w:r>
        <w:rPr>
          <w:rFonts w:ascii="Times New Roman" w:hAnsi="Times New Roman" w:eastAsia="楷体_GB2312"/>
          <w:b/>
          <w:bCs/>
          <w:sz w:val="32"/>
          <w:szCs w:val="32"/>
        </w:rPr>
        <w:t>8</w:t>
      </w:r>
      <w:r>
        <w:rPr>
          <w:rFonts w:hint="eastAsia" w:ascii="Times New Roman" w:hAnsi="Times New Roman" w:eastAsia="楷体_GB2312"/>
          <w:b/>
          <w:bCs/>
          <w:sz w:val="32"/>
          <w:szCs w:val="32"/>
        </w:rPr>
        <w:t>分（</w:t>
      </w:r>
      <w:r>
        <w:rPr>
          <w:rFonts w:ascii="Times New Roman" w:hAnsi="Times New Roman" w:eastAsia="楷体_GB2312"/>
          <w:b/>
          <w:bCs/>
          <w:sz w:val="32"/>
          <w:szCs w:val="32"/>
        </w:rPr>
        <w:t>-1</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目标设定是投入类指标的二级指标，向下分解为绩效目标合理性和绩效指标明确性</w:t>
      </w:r>
      <w:r>
        <w:rPr>
          <w:rFonts w:ascii="Times New Roman" w:hAnsi="Times New Roman" w:eastAsia="仿宋_GB2312"/>
          <w:sz w:val="32"/>
          <w:szCs w:val="32"/>
        </w:rPr>
        <w:t>2</w:t>
      </w:r>
      <w:r>
        <w:rPr>
          <w:rFonts w:hint="eastAsia" w:ascii="Times New Roman" w:hAnsi="Times New Roman" w:eastAsia="仿宋_GB2312"/>
          <w:sz w:val="32"/>
          <w:szCs w:val="32"/>
        </w:rPr>
        <w:t>项三级指标，主要用于评价和考核白银区统计局所设立的整体绩效目标与部门履职、年度工作任务的相符性情况，绩效目标所设定的绩效指标是否清晰、细化、可衡量性。</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年度事业发展规划、业务工作任务目标清晰、合理、明确，同该部门支出计划相比较能准确切合；按绩效评分标准，绩效目标合理性指标得满分</w:t>
      </w:r>
      <w:r>
        <w:rPr>
          <w:rFonts w:ascii="Times New Roman" w:hAnsi="Times New Roman" w:eastAsia="仿宋_GB2312"/>
          <w:sz w:val="32"/>
          <w:szCs w:val="32"/>
        </w:rPr>
        <w:t>4</w:t>
      </w:r>
      <w:r>
        <w:rPr>
          <w:rFonts w:hint="eastAsia" w:ascii="Times New Roman" w:hAnsi="Times New Roman" w:eastAsia="仿宋_GB2312"/>
          <w:sz w:val="32"/>
          <w:szCs w:val="32"/>
        </w:rPr>
        <w:t>，绩效指标明确性得</w:t>
      </w:r>
      <w:r>
        <w:rPr>
          <w:rFonts w:ascii="Times New Roman" w:hAnsi="Times New Roman" w:eastAsia="仿宋_GB2312"/>
          <w:sz w:val="32"/>
          <w:szCs w:val="32"/>
        </w:rPr>
        <w:t>3</w:t>
      </w:r>
      <w:r>
        <w:rPr>
          <w:rFonts w:hint="eastAsia" w:ascii="Times New Roman" w:hAnsi="Times New Roman" w:eastAsia="仿宋_GB2312"/>
          <w:sz w:val="32"/>
          <w:szCs w:val="32"/>
        </w:rPr>
        <w:t>分，主要原因是因为</w:t>
      </w:r>
      <w:r>
        <w:rPr>
          <w:rFonts w:ascii="Times New Roman" w:hAnsi="Times New Roman" w:eastAsia="仿宋_GB2312"/>
          <w:sz w:val="32"/>
          <w:szCs w:val="32"/>
        </w:rPr>
        <w:t>2020</w:t>
      </w:r>
      <w:r>
        <w:rPr>
          <w:rFonts w:hint="eastAsia" w:ascii="Times New Roman" w:hAnsi="Times New Roman" w:eastAsia="仿宋_GB2312"/>
          <w:sz w:val="32"/>
          <w:szCs w:val="32"/>
        </w:rPr>
        <w:t>年开展了第七次人口普查，人口普查方案未能及时下达，导致编制预算时目标不明确。</w:t>
      </w:r>
    </w:p>
    <w:p>
      <w:pPr>
        <w:pStyle w:val="8"/>
        <w:spacing w:line="58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ascii="Times New Roman" w:hAnsi="Times New Roman" w:eastAsia="楷体_GB2312"/>
          <w:b/>
          <w:bCs/>
          <w:sz w:val="32"/>
          <w:szCs w:val="32"/>
        </w:rPr>
        <w:t>2</w:t>
      </w:r>
      <w:r>
        <w:rPr>
          <w:rFonts w:hint="eastAsia" w:ascii="Times New Roman" w:hAnsi="Times New Roman" w:eastAsia="楷体_GB2312"/>
          <w:b/>
          <w:bCs/>
          <w:sz w:val="32"/>
          <w:szCs w:val="32"/>
        </w:rPr>
        <w:t>）预算编制</w:t>
      </w:r>
      <w:r>
        <w:rPr>
          <w:rFonts w:ascii="Times New Roman" w:hAnsi="Times New Roman" w:eastAsia="楷体_GB2312"/>
          <w:b/>
          <w:bCs/>
          <w:sz w:val="32"/>
          <w:szCs w:val="32"/>
        </w:rPr>
        <w:t>12</w:t>
      </w:r>
      <w:r>
        <w:rPr>
          <w:rFonts w:hint="eastAsia" w:ascii="Times New Roman" w:hAnsi="Times New Roman" w:eastAsia="楷体_GB2312"/>
          <w:b/>
          <w:bCs/>
          <w:sz w:val="32"/>
          <w:szCs w:val="32"/>
        </w:rPr>
        <w:t>分（</w:t>
      </w:r>
      <w:r>
        <w:rPr>
          <w:rFonts w:ascii="Times New Roman" w:hAnsi="Times New Roman" w:eastAsia="楷体_GB2312"/>
          <w:b/>
          <w:bCs/>
          <w:sz w:val="32"/>
          <w:szCs w:val="32"/>
        </w:rPr>
        <w:t>-1.5</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预算编制是投入类指标的二级指标，向下分解为预算编制的合理性、预算编制规范性和财政拨款收入预决算差异率</w:t>
      </w:r>
      <w:r>
        <w:rPr>
          <w:rFonts w:ascii="Times New Roman" w:hAnsi="Times New Roman" w:eastAsia="仿宋_GB2312"/>
          <w:sz w:val="32"/>
          <w:szCs w:val="32"/>
        </w:rPr>
        <w:t>3</w:t>
      </w:r>
      <w:r>
        <w:rPr>
          <w:rFonts w:hint="eastAsia" w:ascii="Times New Roman" w:hAnsi="Times New Roman" w:eastAsia="仿宋_GB2312"/>
          <w:sz w:val="32"/>
          <w:szCs w:val="32"/>
        </w:rPr>
        <w:t>项三级指标，主要用于反映和考核白银区统计局预算编制是否遵循了量入为出和收支平衡的原则，从严控制各项支出，是否坚持综合预算的原则等。</w:t>
      </w:r>
    </w:p>
    <w:p>
      <w:pPr>
        <w:pStyle w:val="8"/>
        <w:spacing w:line="580" w:lineRule="exact"/>
        <w:rPr>
          <w:rFonts w:ascii="Times New Roman" w:hAnsi="Times New Roman" w:eastAsia="仿宋_GB2312"/>
          <w:sz w:val="32"/>
          <w:szCs w:val="32"/>
        </w:rPr>
      </w:pPr>
      <w:r>
        <w:rPr>
          <w:rFonts w:hint="eastAsia" w:ascii="Times New Roman" w:hAnsi="Times New Roman" w:eastAsia="仿宋_GB2312"/>
          <w:sz w:val="32"/>
          <w:szCs w:val="32"/>
        </w:rPr>
        <w:t>根据此次绩效评价所收集资料数据等综合性分析可知，白银区统计局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年度部门预算编制合理，得满分</w:t>
      </w:r>
      <w:r>
        <w:rPr>
          <w:rFonts w:ascii="Times New Roman" w:hAnsi="Times New Roman" w:eastAsia="仿宋_GB2312"/>
          <w:sz w:val="32"/>
          <w:szCs w:val="32"/>
        </w:rPr>
        <w:t>4</w:t>
      </w:r>
      <w:r>
        <w:rPr>
          <w:rFonts w:hint="eastAsia" w:ascii="Times New Roman" w:hAnsi="Times New Roman" w:eastAsia="仿宋_GB2312"/>
          <w:sz w:val="32"/>
          <w:szCs w:val="32"/>
        </w:rPr>
        <w:t>分，预算编制规范有一定欠缺，扣</w:t>
      </w:r>
      <w:r>
        <w:rPr>
          <w:rFonts w:ascii="Times New Roman" w:hAnsi="Times New Roman" w:eastAsia="仿宋_GB2312"/>
          <w:sz w:val="32"/>
          <w:szCs w:val="32"/>
        </w:rPr>
        <w:t>0.5</w:t>
      </w:r>
      <w:r>
        <w:rPr>
          <w:rFonts w:hint="eastAsia" w:ascii="Times New Roman" w:hAnsi="Times New Roman" w:eastAsia="仿宋_GB2312"/>
          <w:sz w:val="32"/>
          <w:szCs w:val="32"/>
        </w:rPr>
        <w:t>分，得分</w:t>
      </w:r>
      <w:r>
        <w:rPr>
          <w:rFonts w:ascii="Times New Roman" w:hAnsi="Times New Roman" w:eastAsia="仿宋_GB2312"/>
          <w:sz w:val="32"/>
          <w:szCs w:val="32"/>
        </w:rPr>
        <w:t>3.5</w:t>
      </w:r>
      <w:r>
        <w:rPr>
          <w:rFonts w:hint="eastAsia" w:ascii="Times New Roman" w:hAnsi="Times New Roman" w:eastAsia="仿宋_GB2312"/>
          <w:sz w:val="32"/>
          <w:szCs w:val="32"/>
        </w:rPr>
        <w:t>分。但财政拨款收入预决算差异率较大，扣</w:t>
      </w:r>
      <w:r>
        <w:rPr>
          <w:rFonts w:ascii="Times New Roman" w:hAnsi="Times New Roman" w:eastAsia="仿宋_GB2312"/>
          <w:sz w:val="32"/>
          <w:szCs w:val="32"/>
        </w:rPr>
        <w:t>1</w:t>
      </w:r>
      <w:r>
        <w:rPr>
          <w:rFonts w:hint="eastAsia" w:ascii="Times New Roman" w:hAnsi="Times New Roman" w:eastAsia="仿宋_GB2312"/>
          <w:sz w:val="32"/>
          <w:szCs w:val="32"/>
        </w:rPr>
        <w:t>，得</w:t>
      </w:r>
      <w:r>
        <w:rPr>
          <w:rFonts w:ascii="Times New Roman" w:hAnsi="Times New Roman" w:eastAsia="仿宋_GB2312"/>
          <w:sz w:val="32"/>
          <w:szCs w:val="32"/>
        </w:rPr>
        <w:t>3</w:t>
      </w:r>
      <w:r>
        <w:rPr>
          <w:rFonts w:hint="eastAsia" w:ascii="Times New Roman" w:hAnsi="Times New Roman" w:eastAsia="仿宋_GB2312"/>
          <w:sz w:val="32"/>
          <w:szCs w:val="32"/>
        </w:rPr>
        <w:t>分。</w:t>
      </w:r>
    </w:p>
    <w:p>
      <w:pPr>
        <w:pStyle w:val="8"/>
        <w:spacing w:line="580" w:lineRule="exact"/>
        <w:ind w:firstLine="630" w:firstLineChars="196"/>
        <w:rPr>
          <w:rFonts w:ascii="Times New Roman" w:hAnsi="Times New Roman" w:eastAsia="楷体_GB2312"/>
          <w:b/>
          <w:bCs/>
          <w:sz w:val="32"/>
          <w:szCs w:val="32"/>
        </w:rPr>
      </w:pPr>
      <w:r>
        <w:rPr>
          <w:rFonts w:ascii="Times New Roman" w:hAnsi="Times New Roman" w:eastAsia="楷体_GB2312"/>
          <w:b/>
          <w:bCs/>
          <w:sz w:val="32"/>
          <w:szCs w:val="32"/>
        </w:rPr>
        <w:t>2.</w:t>
      </w:r>
      <w:r>
        <w:rPr>
          <w:rFonts w:hint="eastAsia" w:ascii="Times New Roman" w:hAnsi="Times New Roman" w:eastAsia="楷体_GB2312"/>
          <w:b/>
          <w:bCs/>
          <w:sz w:val="32"/>
          <w:szCs w:val="32"/>
        </w:rPr>
        <w:t>过程</w:t>
      </w:r>
      <w:r>
        <w:rPr>
          <w:rFonts w:ascii="Times New Roman" w:hAnsi="Times New Roman" w:eastAsia="楷体_GB2312"/>
          <w:b/>
          <w:bCs/>
          <w:sz w:val="32"/>
          <w:szCs w:val="32"/>
        </w:rPr>
        <w:t>35</w:t>
      </w:r>
      <w:r>
        <w:rPr>
          <w:rFonts w:hint="eastAsia" w:ascii="Times New Roman" w:hAnsi="Times New Roman" w:eastAsia="楷体_GB2312"/>
          <w:b/>
          <w:bCs/>
          <w:sz w:val="32"/>
          <w:szCs w:val="32"/>
        </w:rPr>
        <w:t>分（</w:t>
      </w:r>
      <w:r>
        <w:rPr>
          <w:rFonts w:ascii="Times New Roman" w:hAnsi="Times New Roman" w:eastAsia="楷体_GB2312"/>
          <w:b/>
          <w:bCs/>
          <w:sz w:val="32"/>
          <w:szCs w:val="32"/>
        </w:rPr>
        <w:t>-3.5</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过程作为绩效评价的一级指标，向下可分解为预算执行、财务管理、人员管理和制度管理</w:t>
      </w:r>
      <w:r>
        <w:rPr>
          <w:rFonts w:ascii="Times New Roman" w:hAnsi="Times New Roman" w:eastAsia="仿宋_GB2312"/>
          <w:sz w:val="32"/>
          <w:szCs w:val="32"/>
        </w:rPr>
        <w:t>4</w:t>
      </w:r>
      <w:r>
        <w:rPr>
          <w:rFonts w:hint="eastAsia" w:ascii="Times New Roman" w:hAnsi="Times New Roman" w:eastAsia="仿宋_GB2312"/>
          <w:sz w:val="32"/>
          <w:szCs w:val="32"/>
        </w:rPr>
        <w:t>项二级指标，主要用于反映和考核白银区统计局部门预算执行合规性、及时性和均衡性等；部门预算资金对完成主要职责或促进事业发展的保障情况和公开透明情况；财务管理安全性，资金使用有效性。</w:t>
      </w:r>
    </w:p>
    <w:p>
      <w:pPr>
        <w:pStyle w:val="8"/>
        <w:spacing w:line="580" w:lineRule="exact"/>
        <w:rPr>
          <w:rFonts w:ascii="Times New Roman" w:hAnsi="Times New Roman" w:eastAsia="仿宋_GB2312"/>
          <w:sz w:val="32"/>
          <w:szCs w:val="32"/>
        </w:rPr>
      </w:pPr>
      <w:r>
        <w:rPr>
          <w:rFonts w:hint="eastAsia" w:ascii="Times New Roman" w:hAnsi="Times New Roman" w:eastAsia="仿宋_GB2312"/>
          <w:sz w:val="32"/>
          <w:szCs w:val="32"/>
        </w:rPr>
        <w:t>根据此次绩效评价了解和所收集资料数据等综合性分析可知，</w:t>
      </w:r>
      <w:r>
        <w:rPr>
          <w:rFonts w:ascii="Times New Roman" w:hAnsi="Times New Roman" w:eastAsia="仿宋_GB2312"/>
          <w:sz w:val="32"/>
          <w:szCs w:val="32"/>
        </w:rPr>
        <w:t>2020</w:t>
      </w:r>
      <w:r>
        <w:rPr>
          <w:rFonts w:hint="eastAsia" w:ascii="Times New Roman" w:hAnsi="Times New Roman" w:eastAsia="仿宋_GB2312"/>
          <w:sz w:val="32"/>
          <w:szCs w:val="32"/>
        </w:rPr>
        <w:t>年白银区统计局预算完成率较好、预算调整数偏大，相比较年度预算资金数而言，其年末资金结转结余率为</w:t>
      </w:r>
      <w:r>
        <w:rPr>
          <w:rFonts w:ascii="Times New Roman" w:hAnsi="Times New Roman" w:eastAsia="仿宋_GB2312"/>
          <w:sz w:val="32"/>
          <w:szCs w:val="32"/>
        </w:rPr>
        <w:t>0</w:t>
      </w:r>
      <w:r>
        <w:rPr>
          <w:rFonts w:hint="eastAsia" w:ascii="Times New Roman" w:hAnsi="Times New Roman" w:eastAsia="仿宋_GB2312"/>
          <w:sz w:val="32"/>
          <w:szCs w:val="32"/>
        </w:rPr>
        <w:t>，但是在预算预算调整数控制方面还存在提升空间。</w:t>
      </w:r>
    </w:p>
    <w:p>
      <w:pPr>
        <w:pStyle w:val="8"/>
        <w:spacing w:line="580" w:lineRule="exact"/>
        <w:ind w:firstLine="630" w:firstLineChars="196"/>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ascii="Times New Roman" w:hAnsi="Times New Roman" w:eastAsia="楷体_GB2312"/>
          <w:b/>
          <w:bCs/>
          <w:sz w:val="32"/>
          <w:szCs w:val="32"/>
        </w:rPr>
        <w:t>1</w:t>
      </w:r>
      <w:r>
        <w:rPr>
          <w:rFonts w:hint="eastAsia" w:ascii="Times New Roman" w:hAnsi="Times New Roman" w:eastAsia="楷体_GB2312"/>
          <w:b/>
          <w:bCs/>
          <w:sz w:val="32"/>
          <w:szCs w:val="32"/>
        </w:rPr>
        <w:t>）预算执行</w:t>
      </w:r>
      <w:r>
        <w:rPr>
          <w:rFonts w:ascii="Times New Roman" w:hAnsi="Times New Roman" w:eastAsia="楷体_GB2312"/>
          <w:b/>
          <w:bCs/>
          <w:sz w:val="32"/>
          <w:szCs w:val="32"/>
        </w:rPr>
        <w:t>22</w:t>
      </w:r>
      <w:r>
        <w:rPr>
          <w:rFonts w:hint="eastAsia" w:ascii="Times New Roman" w:hAnsi="Times New Roman" w:eastAsia="楷体_GB2312"/>
          <w:b/>
          <w:bCs/>
          <w:sz w:val="32"/>
          <w:szCs w:val="32"/>
        </w:rPr>
        <w:t>分（</w:t>
      </w:r>
      <w:r>
        <w:rPr>
          <w:rFonts w:ascii="Times New Roman" w:hAnsi="Times New Roman" w:eastAsia="楷体_GB2312"/>
          <w:b/>
          <w:bCs/>
          <w:sz w:val="32"/>
          <w:szCs w:val="32"/>
        </w:rPr>
        <w:t>-3.5</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预算执行是过程类指标的二级指标，向下分解为预算完成率、</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经费控制率、公用经费控制率、结转结余率、提前下达率、政府采购执行率、预决算信息公开性等</w:t>
      </w:r>
      <w:r>
        <w:rPr>
          <w:rFonts w:ascii="Times New Roman" w:hAnsi="Times New Roman" w:eastAsia="仿宋_GB2312"/>
          <w:sz w:val="32"/>
          <w:szCs w:val="32"/>
        </w:rPr>
        <w:t>7</w:t>
      </w:r>
      <w:r>
        <w:rPr>
          <w:rFonts w:hint="eastAsia" w:ascii="Times New Roman" w:hAnsi="Times New Roman" w:eastAsia="仿宋_GB2312"/>
          <w:sz w:val="32"/>
          <w:szCs w:val="32"/>
        </w:rPr>
        <w:t>项三级指标，主要用于反映和考核区统计局部门预算执行合规性、及时性和均衡性，部门在</w:t>
      </w:r>
      <w:r>
        <w:rPr>
          <w:rFonts w:ascii="Times New Roman" w:hAnsi="Times New Roman" w:eastAsia="仿宋_GB2312"/>
          <w:sz w:val="32"/>
          <w:szCs w:val="32"/>
        </w:rPr>
        <w:t>2020</w:t>
      </w:r>
      <w:r>
        <w:rPr>
          <w:rFonts w:hint="eastAsia" w:ascii="Times New Roman" w:hAnsi="Times New Roman" w:eastAsia="仿宋_GB2312"/>
          <w:sz w:val="32"/>
          <w:szCs w:val="32"/>
        </w:rPr>
        <w:t>年度内预算追加、追减或结构调整情况，以及部门预算资金执行后，资金结转结余情况等。根据此次绩效评价项目所收集资料数据等综合性分析可知，因部门职能的特殊性，省市专项资金不能提前预知，只有在当年才可知道具体专项指标下达情况，所以此项酌情扣</w:t>
      </w:r>
      <w:r>
        <w:rPr>
          <w:rFonts w:ascii="Times New Roman" w:hAnsi="Times New Roman" w:eastAsia="仿宋_GB2312"/>
          <w:sz w:val="32"/>
          <w:szCs w:val="32"/>
        </w:rPr>
        <w:t>0.5</w:t>
      </w:r>
      <w:r>
        <w:rPr>
          <w:rFonts w:hint="eastAsia" w:ascii="Times New Roman" w:hAnsi="Times New Roman" w:eastAsia="仿宋_GB2312"/>
          <w:sz w:val="32"/>
          <w:szCs w:val="32"/>
        </w:rPr>
        <w:t>分，得分</w:t>
      </w:r>
      <w:r>
        <w:rPr>
          <w:rFonts w:ascii="Times New Roman" w:hAnsi="Times New Roman" w:eastAsia="仿宋_GB2312"/>
          <w:sz w:val="32"/>
          <w:szCs w:val="32"/>
        </w:rPr>
        <w:t>3.5</w:t>
      </w:r>
      <w:r>
        <w:rPr>
          <w:rFonts w:hint="eastAsia" w:ascii="Times New Roman" w:hAnsi="Times New Roman" w:eastAsia="仿宋_GB2312"/>
          <w:sz w:val="32"/>
          <w:szCs w:val="32"/>
        </w:rPr>
        <w:t>分。三公经费控制率为</w:t>
      </w:r>
      <w:r>
        <w:rPr>
          <w:rFonts w:ascii="Times New Roman" w:hAnsi="Times New Roman" w:eastAsia="仿宋_GB2312"/>
          <w:sz w:val="32"/>
          <w:szCs w:val="32"/>
        </w:rPr>
        <w:t>100%</w:t>
      </w:r>
      <w:r>
        <w:rPr>
          <w:rFonts w:hint="eastAsia" w:ascii="Times New Roman" w:hAnsi="Times New Roman" w:eastAsia="仿宋_GB2312"/>
          <w:sz w:val="32"/>
          <w:szCs w:val="32"/>
        </w:rPr>
        <w:t>，此项得满分</w:t>
      </w:r>
      <w:r>
        <w:rPr>
          <w:rFonts w:ascii="Times New Roman" w:hAnsi="Times New Roman" w:eastAsia="仿宋_GB2312"/>
          <w:sz w:val="32"/>
          <w:szCs w:val="32"/>
        </w:rPr>
        <w:t>3</w:t>
      </w:r>
      <w:r>
        <w:rPr>
          <w:rFonts w:hint="eastAsia" w:ascii="Times New Roman" w:hAnsi="Times New Roman" w:eastAsia="仿宋_GB2312"/>
          <w:sz w:val="32"/>
          <w:szCs w:val="32"/>
        </w:rPr>
        <w:t>分；公用经费实际支出支小于预算数，此项得满分</w:t>
      </w:r>
      <w:r>
        <w:rPr>
          <w:rFonts w:ascii="Times New Roman" w:hAnsi="Times New Roman" w:eastAsia="仿宋_GB2312"/>
          <w:sz w:val="32"/>
          <w:szCs w:val="32"/>
        </w:rPr>
        <w:t>2</w:t>
      </w:r>
      <w:r>
        <w:rPr>
          <w:rFonts w:hint="eastAsia" w:ascii="Times New Roman" w:hAnsi="Times New Roman" w:eastAsia="仿宋_GB2312"/>
          <w:sz w:val="32"/>
          <w:szCs w:val="32"/>
        </w:rPr>
        <w:t>分；年末结转结余金额为</w:t>
      </w:r>
      <w:r>
        <w:rPr>
          <w:rFonts w:ascii="Times New Roman" w:hAnsi="Times New Roman" w:eastAsia="仿宋_GB2312"/>
          <w:sz w:val="32"/>
          <w:szCs w:val="32"/>
        </w:rPr>
        <w:t>0</w:t>
      </w:r>
      <w:r>
        <w:rPr>
          <w:rFonts w:hint="eastAsia" w:ascii="Times New Roman" w:hAnsi="Times New Roman" w:eastAsia="仿宋_GB2312"/>
          <w:sz w:val="32"/>
          <w:szCs w:val="32"/>
        </w:rPr>
        <w:t>万元，此项得满分</w:t>
      </w:r>
      <w:r>
        <w:rPr>
          <w:rFonts w:ascii="Times New Roman" w:hAnsi="Times New Roman" w:eastAsia="仿宋_GB2312"/>
          <w:sz w:val="32"/>
          <w:szCs w:val="32"/>
        </w:rPr>
        <w:t>3</w:t>
      </w:r>
      <w:r>
        <w:rPr>
          <w:rFonts w:hint="eastAsia" w:ascii="Times New Roman" w:hAnsi="Times New Roman" w:eastAsia="仿宋_GB2312"/>
          <w:sz w:val="32"/>
          <w:szCs w:val="32"/>
        </w:rPr>
        <w:t>分；提前下达率因部门职能具体情况，省市专项资金只有在收到上级资金指标下达文件后财政局才下达资金，所以略有延迟，酌情扣</w:t>
      </w:r>
      <w:r>
        <w:rPr>
          <w:rFonts w:ascii="Times New Roman" w:hAnsi="Times New Roman" w:eastAsia="仿宋_GB2312"/>
          <w:sz w:val="32"/>
          <w:szCs w:val="32"/>
        </w:rPr>
        <w:t>1</w:t>
      </w:r>
      <w:r>
        <w:rPr>
          <w:rFonts w:hint="eastAsia" w:ascii="Times New Roman" w:hAnsi="Times New Roman" w:eastAsia="仿宋_GB2312"/>
          <w:sz w:val="32"/>
          <w:szCs w:val="32"/>
        </w:rPr>
        <w:t>分，得分</w:t>
      </w:r>
      <w:r>
        <w:rPr>
          <w:rFonts w:ascii="Times New Roman" w:hAnsi="Times New Roman" w:eastAsia="仿宋_GB2312"/>
          <w:sz w:val="32"/>
          <w:szCs w:val="32"/>
        </w:rPr>
        <w:t>2</w:t>
      </w:r>
      <w:r>
        <w:rPr>
          <w:rFonts w:hint="eastAsia" w:ascii="Times New Roman" w:hAnsi="Times New Roman" w:eastAsia="仿宋_GB2312"/>
          <w:sz w:val="32"/>
          <w:szCs w:val="32"/>
        </w:rPr>
        <w:t>分；</w:t>
      </w:r>
      <w:r>
        <w:rPr>
          <w:rFonts w:ascii="Times New Roman" w:hAnsi="Times New Roman" w:eastAsia="仿宋_GB2312"/>
          <w:sz w:val="32"/>
          <w:szCs w:val="32"/>
        </w:rPr>
        <w:t>2020</w:t>
      </w:r>
      <w:r>
        <w:rPr>
          <w:rFonts w:hint="eastAsia" w:ascii="Times New Roman" w:hAnsi="Times New Roman" w:eastAsia="仿宋_GB2312"/>
          <w:sz w:val="32"/>
          <w:szCs w:val="32"/>
        </w:rPr>
        <w:t>年由于政府采购有特殊性，故在执行时有偏差，酌情扣</w:t>
      </w:r>
      <w:r>
        <w:rPr>
          <w:rFonts w:ascii="Times New Roman" w:hAnsi="Times New Roman" w:eastAsia="仿宋_GB2312"/>
          <w:sz w:val="32"/>
          <w:szCs w:val="32"/>
        </w:rPr>
        <w:t>1.5</w:t>
      </w:r>
      <w:r>
        <w:rPr>
          <w:rFonts w:hint="eastAsia" w:ascii="Times New Roman" w:hAnsi="Times New Roman" w:eastAsia="仿宋_GB2312"/>
          <w:sz w:val="32"/>
          <w:szCs w:val="32"/>
        </w:rPr>
        <w:t>分，得分</w:t>
      </w:r>
      <w:r>
        <w:rPr>
          <w:rFonts w:ascii="Times New Roman" w:hAnsi="Times New Roman" w:eastAsia="仿宋_GB2312"/>
          <w:sz w:val="32"/>
          <w:szCs w:val="32"/>
        </w:rPr>
        <w:t>1.5</w:t>
      </w:r>
      <w:r>
        <w:rPr>
          <w:rFonts w:hint="eastAsia" w:ascii="Times New Roman" w:hAnsi="Times New Roman" w:eastAsia="仿宋_GB2312"/>
          <w:sz w:val="32"/>
          <w:szCs w:val="32"/>
        </w:rPr>
        <w:t>分；预决算公开时，略微存在局限性，酌情扣</w:t>
      </w:r>
      <w:r>
        <w:rPr>
          <w:rFonts w:ascii="Times New Roman" w:hAnsi="Times New Roman" w:eastAsia="仿宋_GB2312"/>
          <w:sz w:val="32"/>
          <w:szCs w:val="32"/>
        </w:rPr>
        <w:t>0.5</w:t>
      </w:r>
      <w:r>
        <w:rPr>
          <w:rFonts w:hint="eastAsia" w:ascii="Times New Roman" w:hAnsi="Times New Roman" w:eastAsia="仿宋_GB2312"/>
          <w:sz w:val="32"/>
          <w:szCs w:val="32"/>
        </w:rPr>
        <w:t>分。得分</w:t>
      </w:r>
      <w:r>
        <w:rPr>
          <w:rFonts w:ascii="Times New Roman" w:hAnsi="Times New Roman" w:eastAsia="仿宋_GB2312"/>
          <w:sz w:val="32"/>
          <w:szCs w:val="32"/>
        </w:rPr>
        <w:t>3.5</w:t>
      </w:r>
      <w:r>
        <w:rPr>
          <w:rFonts w:hint="eastAsia" w:ascii="Times New Roman" w:hAnsi="Times New Roman" w:eastAsia="仿宋_GB2312"/>
          <w:sz w:val="32"/>
          <w:szCs w:val="32"/>
        </w:rPr>
        <w:t>分。</w:t>
      </w:r>
    </w:p>
    <w:p>
      <w:pPr>
        <w:pStyle w:val="8"/>
        <w:spacing w:line="580" w:lineRule="exact"/>
        <w:ind w:firstLine="630" w:firstLineChars="196"/>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ascii="Times New Roman" w:hAnsi="Times New Roman" w:eastAsia="楷体_GB2312"/>
          <w:b/>
          <w:bCs/>
          <w:sz w:val="32"/>
          <w:szCs w:val="32"/>
        </w:rPr>
        <w:t>2</w:t>
      </w:r>
      <w:r>
        <w:rPr>
          <w:rFonts w:hint="eastAsia" w:ascii="Times New Roman" w:hAnsi="Times New Roman" w:eastAsia="楷体_GB2312"/>
          <w:b/>
          <w:bCs/>
          <w:sz w:val="32"/>
          <w:szCs w:val="32"/>
        </w:rPr>
        <w:t>）财务管理</w:t>
      </w:r>
      <w:r>
        <w:rPr>
          <w:rFonts w:ascii="Times New Roman" w:hAnsi="Times New Roman" w:eastAsia="楷体_GB2312"/>
          <w:b/>
          <w:bCs/>
          <w:sz w:val="32"/>
          <w:szCs w:val="32"/>
        </w:rPr>
        <w:t>6</w:t>
      </w:r>
      <w:r>
        <w:rPr>
          <w:rFonts w:hint="eastAsia" w:ascii="Times New Roman" w:hAnsi="Times New Roman" w:eastAsia="楷体_GB2312"/>
          <w:b/>
          <w:bCs/>
          <w:sz w:val="32"/>
          <w:szCs w:val="32"/>
        </w:rPr>
        <w:t>分（</w:t>
      </w:r>
      <w:r>
        <w:rPr>
          <w:rFonts w:ascii="Times New Roman" w:hAnsi="Times New Roman" w:eastAsia="楷体_GB2312"/>
          <w:b/>
          <w:bCs/>
          <w:sz w:val="32"/>
          <w:szCs w:val="32"/>
        </w:rPr>
        <w:t>-0</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务管理是过程类指标的二级指标，向下显示为资金使用规范性，主要用于反映和考核白银区统计局部门资金对完成主要职责和促进事业发展的保障情况，以及预决算管理的公开透明情况等。根据此次绩效评价项目所收集资料数据等综合性分析可知，截止</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月末，区统计局先后已制定了《区统计局</w:t>
      </w:r>
      <w:r>
        <w:rPr>
          <w:rFonts w:ascii="Times New Roman" w:hAnsi="Times New Roman" w:eastAsia="仿宋_GB2312"/>
          <w:sz w:val="32"/>
          <w:szCs w:val="32"/>
        </w:rPr>
        <w:t>“</w:t>
      </w:r>
      <w:r>
        <w:rPr>
          <w:rFonts w:hint="eastAsia" w:ascii="Times New Roman" w:hAnsi="Times New Roman" w:eastAsia="仿宋_GB2312"/>
          <w:sz w:val="32"/>
          <w:szCs w:val="32"/>
        </w:rPr>
        <w:t>三重一大</w:t>
      </w:r>
      <w:r>
        <w:rPr>
          <w:rFonts w:ascii="Times New Roman" w:hAnsi="Times New Roman" w:eastAsia="仿宋_GB2312"/>
          <w:sz w:val="32"/>
          <w:szCs w:val="32"/>
        </w:rPr>
        <w:t>”</w:t>
      </w:r>
      <w:r>
        <w:rPr>
          <w:rFonts w:hint="eastAsia" w:ascii="Times New Roman" w:hAnsi="Times New Roman" w:eastAsia="仿宋_GB2312"/>
          <w:sz w:val="32"/>
          <w:szCs w:val="32"/>
        </w:rPr>
        <w:t>事项集体决策制度》、《区统计局财务管理办法》等相关制度，按绩效评分标准，财务管理制度健全，财务收支合理，资金使用规范，得满</w:t>
      </w:r>
      <w:r>
        <w:rPr>
          <w:rFonts w:ascii="Times New Roman" w:hAnsi="Times New Roman" w:eastAsia="仿宋_GB2312"/>
          <w:sz w:val="32"/>
          <w:szCs w:val="32"/>
        </w:rPr>
        <w:t>6</w:t>
      </w:r>
      <w:r>
        <w:rPr>
          <w:rFonts w:hint="eastAsia" w:ascii="Times New Roman" w:hAnsi="Times New Roman" w:eastAsia="仿宋_GB2312"/>
          <w:sz w:val="32"/>
          <w:szCs w:val="32"/>
        </w:rPr>
        <w:t>分。</w:t>
      </w:r>
    </w:p>
    <w:p>
      <w:pPr>
        <w:pStyle w:val="8"/>
        <w:spacing w:line="580" w:lineRule="exact"/>
        <w:ind w:firstLine="630" w:firstLineChars="196"/>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ascii="Times New Roman" w:hAnsi="Times New Roman" w:eastAsia="楷体_GB2312"/>
          <w:b/>
          <w:bCs/>
          <w:sz w:val="32"/>
          <w:szCs w:val="32"/>
        </w:rPr>
        <w:t>3</w:t>
      </w:r>
      <w:r>
        <w:rPr>
          <w:rFonts w:hint="eastAsia" w:ascii="Times New Roman" w:hAnsi="Times New Roman" w:eastAsia="楷体_GB2312"/>
          <w:b/>
          <w:bCs/>
          <w:sz w:val="32"/>
          <w:szCs w:val="32"/>
        </w:rPr>
        <w:t>）人员管理</w:t>
      </w:r>
      <w:r>
        <w:rPr>
          <w:rFonts w:ascii="Times New Roman" w:hAnsi="Times New Roman" w:eastAsia="楷体_GB2312"/>
          <w:b/>
          <w:bCs/>
          <w:sz w:val="32"/>
          <w:szCs w:val="32"/>
        </w:rPr>
        <w:t>2</w:t>
      </w:r>
      <w:r>
        <w:rPr>
          <w:rFonts w:hint="eastAsia" w:ascii="Times New Roman" w:hAnsi="Times New Roman" w:eastAsia="楷体_GB2312"/>
          <w:b/>
          <w:bCs/>
          <w:sz w:val="32"/>
          <w:szCs w:val="32"/>
        </w:rPr>
        <w:t>分（</w:t>
      </w:r>
      <w:r>
        <w:rPr>
          <w:rFonts w:ascii="Times New Roman" w:hAnsi="Times New Roman" w:eastAsia="楷体_GB2312"/>
          <w:b/>
          <w:bCs/>
          <w:sz w:val="32"/>
          <w:szCs w:val="32"/>
        </w:rPr>
        <w:t>-0</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人员管理是过程类指标的二级指标，向下显示为财政供养人员控制率</w:t>
      </w:r>
      <w:r>
        <w:rPr>
          <w:rFonts w:ascii="Times New Roman" w:hAnsi="Times New Roman" w:eastAsia="仿宋_GB2312"/>
          <w:sz w:val="32"/>
          <w:szCs w:val="32"/>
        </w:rPr>
        <w:t>1</w:t>
      </w:r>
      <w:r>
        <w:rPr>
          <w:rFonts w:hint="eastAsia" w:ascii="Times New Roman" w:hAnsi="Times New Roman" w:eastAsia="仿宋_GB2312"/>
          <w:sz w:val="32"/>
          <w:szCs w:val="32"/>
        </w:rPr>
        <w:t>项三级指标，主要用于反映和考核区统计局部门在编在岗人员与核定编制数的比率。根据此次绩效评价项目收集资料数据等综合性分析可知，区统计局人员编制合理。得满分</w:t>
      </w:r>
      <w:r>
        <w:rPr>
          <w:rFonts w:ascii="Times New Roman" w:hAnsi="Times New Roman" w:eastAsia="仿宋_GB2312"/>
          <w:sz w:val="32"/>
          <w:szCs w:val="32"/>
        </w:rPr>
        <w:t>2</w:t>
      </w:r>
      <w:r>
        <w:rPr>
          <w:rFonts w:hint="eastAsia" w:ascii="Times New Roman" w:hAnsi="Times New Roman" w:eastAsia="仿宋_GB2312"/>
          <w:sz w:val="32"/>
          <w:szCs w:val="32"/>
        </w:rPr>
        <w:t>分。</w:t>
      </w:r>
    </w:p>
    <w:p>
      <w:pPr>
        <w:pStyle w:val="8"/>
        <w:spacing w:line="580" w:lineRule="exact"/>
        <w:ind w:firstLine="630" w:firstLineChars="196"/>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ascii="Times New Roman" w:hAnsi="Times New Roman" w:eastAsia="楷体_GB2312"/>
          <w:b/>
          <w:bCs/>
          <w:sz w:val="32"/>
          <w:szCs w:val="32"/>
        </w:rPr>
        <w:t>4</w:t>
      </w:r>
      <w:r>
        <w:rPr>
          <w:rFonts w:hint="eastAsia" w:ascii="Times New Roman" w:hAnsi="Times New Roman" w:eastAsia="楷体_GB2312"/>
          <w:b/>
          <w:bCs/>
          <w:sz w:val="32"/>
          <w:szCs w:val="32"/>
        </w:rPr>
        <w:t>）制度管理</w:t>
      </w:r>
      <w:r>
        <w:rPr>
          <w:rFonts w:ascii="Times New Roman" w:hAnsi="Times New Roman" w:eastAsia="楷体_GB2312"/>
          <w:b/>
          <w:bCs/>
          <w:sz w:val="32"/>
          <w:szCs w:val="32"/>
        </w:rPr>
        <w:t>5</w:t>
      </w:r>
      <w:r>
        <w:rPr>
          <w:rFonts w:hint="eastAsia" w:ascii="Times New Roman" w:hAnsi="Times New Roman" w:eastAsia="楷体_GB2312"/>
          <w:b/>
          <w:bCs/>
          <w:sz w:val="32"/>
          <w:szCs w:val="32"/>
        </w:rPr>
        <w:t>分（</w:t>
      </w:r>
      <w:r>
        <w:rPr>
          <w:rFonts w:ascii="Times New Roman" w:hAnsi="Times New Roman" w:eastAsia="楷体_GB2312"/>
          <w:b/>
          <w:bCs/>
          <w:sz w:val="32"/>
          <w:szCs w:val="32"/>
        </w:rPr>
        <w:t>-1</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制度管理是过程类指标的二级指标，向下显示为管理制度的健全性</w:t>
      </w:r>
      <w:r>
        <w:rPr>
          <w:rFonts w:ascii="Times New Roman" w:hAnsi="Times New Roman" w:eastAsia="仿宋_GB2312"/>
          <w:sz w:val="32"/>
          <w:szCs w:val="32"/>
        </w:rPr>
        <w:t>1</w:t>
      </w:r>
      <w:r>
        <w:rPr>
          <w:rFonts w:hint="eastAsia" w:ascii="Times New Roman" w:hAnsi="Times New Roman" w:eastAsia="仿宋_GB2312"/>
          <w:sz w:val="32"/>
          <w:szCs w:val="32"/>
        </w:rPr>
        <w:t>项三级指标，主要用于反映和考核白银区统计局部门各项管理制度的健全性。根据此次绩效评价收集资料数据等综合性分析可知，区统计局人员制度相对健全，编制了内部控制制度汇编，但个别制度没有及时更新，扣</w:t>
      </w:r>
      <w:r>
        <w:rPr>
          <w:rFonts w:ascii="Times New Roman" w:hAnsi="Times New Roman" w:eastAsia="仿宋_GB2312"/>
          <w:sz w:val="32"/>
          <w:szCs w:val="32"/>
        </w:rPr>
        <w:t>1</w:t>
      </w:r>
      <w:r>
        <w:rPr>
          <w:rFonts w:hint="eastAsia" w:ascii="Times New Roman" w:hAnsi="Times New Roman" w:eastAsia="仿宋_GB2312"/>
          <w:sz w:val="32"/>
          <w:szCs w:val="32"/>
        </w:rPr>
        <w:t>分，得分</w:t>
      </w:r>
      <w:r>
        <w:rPr>
          <w:rFonts w:ascii="Times New Roman" w:hAnsi="Times New Roman" w:eastAsia="仿宋_GB2312"/>
          <w:sz w:val="32"/>
          <w:szCs w:val="32"/>
        </w:rPr>
        <w:t>4</w:t>
      </w:r>
      <w:r>
        <w:rPr>
          <w:rFonts w:hint="eastAsia" w:ascii="Times New Roman" w:hAnsi="Times New Roman" w:eastAsia="仿宋_GB2312"/>
          <w:sz w:val="32"/>
          <w:szCs w:val="32"/>
        </w:rPr>
        <w:t>。</w:t>
      </w:r>
    </w:p>
    <w:p>
      <w:pPr>
        <w:pStyle w:val="8"/>
        <w:spacing w:line="580" w:lineRule="exact"/>
        <w:ind w:firstLine="630" w:firstLineChars="196"/>
        <w:rPr>
          <w:rFonts w:ascii="Times New Roman" w:hAnsi="Times New Roman" w:eastAsia="楷体_GB2312"/>
          <w:b/>
          <w:bCs/>
          <w:sz w:val="32"/>
          <w:szCs w:val="32"/>
        </w:rPr>
      </w:pPr>
      <w:r>
        <w:rPr>
          <w:rFonts w:ascii="Times New Roman" w:hAnsi="Times New Roman" w:eastAsia="楷体_GB2312"/>
          <w:b/>
          <w:bCs/>
          <w:sz w:val="32"/>
          <w:szCs w:val="32"/>
        </w:rPr>
        <w:t>3.</w:t>
      </w:r>
      <w:r>
        <w:rPr>
          <w:rFonts w:hint="eastAsia" w:ascii="Times New Roman" w:hAnsi="Times New Roman" w:eastAsia="楷体_GB2312"/>
          <w:b/>
          <w:bCs/>
          <w:sz w:val="32"/>
          <w:szCs w:val="32"/>
        </w:rPr>
        <w:t>产出</w:t>
      </w:r>
      <w:r>
        <w:rPr>
          <w:rFonts w:ascii="Times New Roman" w:hAnsi="Times New Roman" w:eastAsia="楷体_GB2312"/>
          <w:b/>
          <w:bCs/>
          <w:sz w:val="32"/>
          <w:szCs w:val="32"/>
        </w:rPr>
        <w:t>25</w:t>
      </w:r>
      <w:r>
        <w:rPr>
          <w:rFonts w:hint="eastAsia" w:ascii="Times New Roman" w:hAnsi="Times New Roman" w:eastAsia="楷体_GB2312"/>
          <w:b/>
          <w:bCs/>
          <w:sz w:val="32"/>
          <w:szCs w:val="32"/>
        </w:rPr>
        <w:t>分（</w:t>
      </w:r>
      <w:r>
        <w:rPr>
          <w:rFonts w:ascii="Times New Roman" w:hAnsi="Times New Roman" w:eastAsia="楷体_GB2312"/>
          <w:b/>
          <w:bCs/>
          <w:sz w:val="32"/>
          <w:szCs w:val="32"/>
        </w:rPr>
        <w:t>-4</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产出作为绩效评价的一级指标，向下主要体现在职责履行</w:t>
      </w:r>
      <w:r>
        <w:rPr>
          <w:rFonts w:ascii="Times New Roman" w:hAnsi="Times New Roman" w:eastAsia="仿宋_GB2312"/>
          <w:sz w:val="32"/>
          <w:szCs w:val="32"/>
        </w:rPr>
        <w:t>1</w:t>
      </w:r>
      <w:r>
        <w:rPr>
          <w:rFonts w:hint="eastAsia" w:ascii="Times New Roman" w:hAnsi="Times New Roman" w:eastAsia="仿宋_GB2312"/>
          <w:sz w:val="32"/>
          <w:szCs w:val="32"/>
        </w:rPr>
        <w:t>项二级指标，主要用于反映和考核白银区统计部门整体履职尽责情况。根据此次绩效评价了解和所收集资料数据等综合性分析可知，</w:t>
      </w:r>
      <w:r>
        <w:rPr>
          <w:rFonts w:ascii="Times New Roman" w:hAnsi="Times New Roman" w:eastAsia="仿宋_GB2312"/>
          <w:sz w:val="32"/>
          <w:szCs w:val="32"/>
        </w:rPr>
        <w:t>2020</w:t>
      </w:r>
      <w:r>
        <w:rPr>
          <w:rFonts w:hint="eastAsia" w:ascii="Times New Roman" w:hAnsi="Times New Roman" w:eastAsia="仿宋_GB2312"/>
          <w:sz w:val="32"/>
          <w:szCs w:val="32"/>
        </w:rPr>
        <w:t>年区统计局在职责履行方面，总体而言其绩效评价表现较好，但是在职责履行方面还需要更进一步。</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综合分析，并按职责履行分类的</w:t>
      </w:r>
      <w:r>
        <w:rPr>
          <w:rFonts w:ascii="Times New Roman" w:hAnsi="Times New Roman" w:eastAsia="仿宋_GB2312"/>
          <w:sz w:val="32"/>
          <w:szCs w:val="32"/>
        </w:rPr>
        <w:t>3</w:t>
      </w:r>
      <w:r>
        <w:rPr>
          <w:rFonts w:hint="eastAsia" w:ascii="Times New Roman" w:hAnsi="Times New Roman" w:eastAsia="仿宋_GB2312"/>
          <w:sz w:val="32"/>
          <w:szCs w:val="32"/>
        </w:rPr>
        <w:t>项三级指标评分标准，关于职责履行情况扣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11</w:t>
      </w:r>
      <w:r>
        <w:rPr>
          <w:rFonts w:hint="eastAsia" w:ascii="Times New Roman" w:hAnsi="Times New Roman" w:eastAsia="仿宋_GB2312"/>
          <w:sz w:val="32"/>
          <w:szCs w:val="32"/>
        </w:rPr>
        <w:t>分；关于职责履行及时性扣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6</w:t>
      </w:r>
      <w:r>
        <w:rPr>
          <w:rFonts w:hint="eastAsia" w:ascii="Times New Roman" w:hAnsi="Times New Roman" w:eastAsia="仿宋_GB2312"/>
          <w:sz w:val="32"/>
          <w:szCs w:val="32"/>
        </w:rPr>
        <w:t>分；重点工作办结情况扣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4</w:t>
      </w:r>
      <w:r>
        <w:rPr>
          <w:rFonts w:hint="eastAsia" w:ascii="Times New Roman" w:hAnsi="Times New Roman" w:eastAsia="仿宋_GB2312"/>
          <w:sz w:val="32"/>
          <w:szCs w:val="32"/>
        </w:rPr>
        <w:t>分。</w:t>
      </w:r>
    </w:p>
    <w:p>
      <w:pPr>
        <w:pStyle w:val="8"/>
        <w:spacing w:line="580" w:lineRule="exact"/>
        <w:ind w:firstLine="630" w:firstLineChars="196"/>
        <w:rPr>
          <w:rFonts w:ascii="Times New Roman" w:hAnsi="Times New Roman" w:eastAsia="楷体_GB2312"/>
          <w:b/>
          <w:bCs/>
          <w:sz w:val="32"/>
          <w:szCs w:val="32"/>
        </w:rPr>
      </w:pPr>
      <w:r>
        <w:rPr>
          <w:rFonts w:ascii="Times New Roman" w:hAnsi="Times New Roman" w:eastAsia="楷体_GB2312"/>
          <w:b/>
          <w:bCs/>
          <w:sz w:val="32"/>
          <w:szCs w:val="32"/>
        </w:rPr>
        <w:t>4.</w:t>
      </w:r>
      <w:r>
        <w:rPr>
          <w:rFonts w:hint="eastAsia" w:ascii="Times New Roman" w:hAnsi="Times New Roman" w:eastAsia="楷体_GB2312"/>
          <w:b/>
          <w:bCs/>
          <w:sz w:val="32"/>
          <w:szCs w:val="32"/>
        </w:rPr>
        <w:t>效益</w:t>
      </w:r>
      <w:r>
        <w:rPr>
          <w:rFonts w:ascii="Times New Roman" w:hAnsi="Times New Roman" w:eastAsia="楷体_GB2312"/>
          <w:b/>
          <w:bCs/>
          <w:sz w:val="32"/>
          <w:szCs w:val="32"/>
        </w:rPr>
        <w:t>20</w:t>
      </w:r>
      <w:r>
        <w:rPr>
          <w:rFonts w:hint="eastAsia" w:ascii="Times New Roman" w:hAnsi="Times New Roman" w:eastAsia="楷体_GB2312"/>
          <w:b/>
          <w:bCs/>
          <w:sz w:val="32"/>
          <w:szCs w:val="32"/>
        </w:rPr>
        <w:t>分（</w:t>
      </w:r>
      <w:r>
        <w:rPr>
          <w:rFonts w:ascii="Times New Roman" w:hAnsi="Times New Roman" w:eastAsia="楷体_GB2312"/>
          <w:b/>
          <w:bCs/>
          <w:sz w:val="32"/>
          <w:szCs w:val="32"/>
        </w:rPr>
        <w:t>-4</w:t>
      </w:r>
      <w:r>
        <w:rPr>
          <w:rFonts w:hint="eastAsia" w:ascii="Times New Roman" w:hAnsi="Times New Roman" w:eastAsia="楷体_GB2312"/>
          <w:b/>
          <w:bCs/>
          <w:sz w:val="32"/>
          <w:szCs w:val="32"/>
        </w:rPr>
        <w:t>分）</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效益作为绩效评价的一级指标，向下可分解为履职效益</w:t>
      </w:r>
      <w:r>
        <w:rPr>
          <w:rFonts w:ascii="Times New Roman" w:hAnsi="Times New Roman" w:eastAsia="仿宋_GB2312"/>
          <w:sz w:val="32"/>
          <w:szCs w:val="32"/>
        </w:rPr>
        <w:t>1</w:t>
      </w:r>
      <w:r>
        <w:rPr>
          <w:rFonts w:hint="eastAsia" w:ascii="Times New Roman" w:hAnsi="Times New Roman" w:eastAsia="仿宋_GB2312"/>
          <w:sz w:val="32"/>
          <w:szCs w:val="32"/>
        </w:rPr>
        <w:t>项二级指标，主要用于反映和考核白银区统计局部门履职尽责、年度重点工作实施开展后，区域内促进经济增长和控制经济损失情况，对全区企业经济增长、环境保护，企业带动效益等所发挥的积极可持续影响等情况。根据此次绩效评价了解和所收集资料数据等综合性分析可知，白银区统计局</w:t>
      </w:r>
      <w:r>
        <w:rPr>
          <w:rFonts w:ascii="Times New Roman" w:hAnsi="Times New Roman" w:eastAsia="仿宋_GB2312"/>
          <w:sz w:val="32"/>
          <w:szCs w:val="32"/>
        </w:rPr>
        <w:t>2020</w:t>
      </w:r>
      <w:r>
        <w:rPr>
          <w:rFonts w:hint="eastAsia" w:ascii="Times New Roman" w:hAnsi="Times New Roman" w:eastAsia="仿宋_GB2312"/>
          <w:sz w:val="32"/>
          <w:szCs w:val="32"/>
        </w:rPr>
        <w:t>年的职责履行和组织实施的项目对辖区范围社会经济发挥均产生了比较好的效益，总体而言其绩效评价均表现较中等，具体表现为：社会效益扣</w:t>
      </w:r>
      <w:r>
        <w:rPr>
          <w:rFonts w:ascii="Times New Roman" w:hAnsi="Times New Roman" w:eastAsia="仿宋_GB2312"/>
          <w:sz w:val="32"/>
          <w:szCs w:val="32"/>
        </w:rPr>
        <w:t>2</w:t>
      </w:r>
      <w:r>
        <w:rPr>
          <w:rFonts w:hint="eastAsia" w:ascii="Times New Roman" w:hAnsi="Times New Roman" w:eastAsia="仿宋_GB2312"/>
          <w:sz w:val="32"/>
          <w:szCs w:val="32"/>
        </w:rPr>
        <w:t>分，得分</w:t>
      </w:r>
      <w:r>
        <w:rPr>
          <w:rFonts w:ascii="Times New Roman" w:hAnsi="Times New Roman" w:eastAsia="仿宋_GB2312"/>
          <w:sz w:val="32"/>
          <w:szCs w:val="32"/>
        </w:rPr>
        <w:t>8</w:t>
      </w:r>
      <w:r>
        <w:rPr>
          <w:rFonts w:hint="eastAsia" w:ascii="Times New Roman" w:hAnsi="Times New Roman" w:eastAsia="仿宋_GB2312"/>
          <w:sz w:val="32"/>
          <w:szCs w:val="32"/>
        </w:rPr>
        <w:t>分；经济效益扣分</w:t>
      </w:r>
      <w:r>
        <w:rPr>
          <w:rFonts w:ascii="Times New Roman" w:hAnsi="Times New Roman" w:eastAsia="仿宋_GB2312"/>
          <w:sz w:val="32"/>
          <w:szCs w:val="32"/>
        </w:rPr>
        <w:t>2</w:t>
      </w:r>
      <w:r>
        <w:rPr>
          <w:rFonts w:hint="eastAsia" w:ascii="Times New Roman" w:hAnsi="Times New Roman" w:eastAsia="仿宋_GB2312"/>
          <w:sz w:val="32"/>
          <w:szCs w:val="32"/>
        </w:rPr>
        <w:t>分，得分</w:t>
      </w:r>
      <w:r>
        <w:rPr>
          <w:rFonts w:ascii="Times New Roman" w:hAnsi="Times New Roman" w:eastAsia="仿宋_GB2312"/>
          <w:sz w:val="32"/>
          <w:szCs w:val="32"/>
        </w:rPr>
        <w:t>8</w:t>
      </w:r>
      <w:r>
        <w:rPr>
          <w:rFonts w:hint="eastAsia" w:ascii="Times New Roman" w:hAnsi="Times New Roman" w:eastAsia="仿宋_GB2312"/>
          <w:sz w:val="32"/>
          <w:szCs w:val="32"/>
        </w:rPr>
        <w:t>分。</w:t>
      </w:r>
    </w:p>
    <w:p>
      <w:pPr>
        <w:pStyle w:val="8"/>
        <w:spacing w:line="580" w:lineRule="exact"/>
        <w:rPr>
          <w:rFonts w:ascii="Times New Roman" w:hAnsi="Times New Roman" w:eastAsia="仿宋_GB2312"/>
          <w:sz w:val="32"/>
          <w:szCs w:val="32"/>
        </w:rPr>
      </w:pPr>
      <w:r>
        <w:rPr>
          <w:rFonts w:hint="eastAsia" w:ascii="Times New Roman" w:hAnsi="Times New Roman" w:eastAsia="仿宋_GB2312"/>
          <w:sz w:val="32"/>
          <w:szCs w:val="32"/>
        </w:rPr>
        <w:t>由此可见白银区统计局在职责履行过程中，在社会效益和经济效益等方面还需要进一步提升和加强。</w:t>
      </w:r>
    </w:p>
    <w:p>
      <w:pPr>
        <w:pStyle w:val="10"/>
        <w:spacing w:before="0" w:after="0" w:line="580" w:lineRule="exact"/>
        <w:ind w:firstLine="630" w:firstLineChars="196"/>
        <w:rPr>
          <w:rFonts w:ascii="Times New Roman" w:hAnsi="Times New Roman" w:eastAsia="楷体_GB2312"/>
        </w:rPr>
      </w:pPr>
      <w:r>
        <w:rPr>
          <w:rFonts w:hint="eastAsia" w:ascii="Times New Roman" w:hAnsi="Times New Roman" w:eastAsia="楷体_GB2312"/>
        </w:rPr>
        <w:t>（三）自评结论</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此次关于白银市白银区统计局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年度部门整体支出绩效评价的可靠性主要是基于本单位佐证材料的全面性和准确性，自评小组尽可能地收集更为全面、有效、准确的文件和数据，做出客观、公平、公正和详实的评价结论。</w:t>
      </w:r>
    </w:p>
    <w:p>
      <w:pPr>
        <w:pStyle w:val="8"/>
        <w:spacing w:line="580" w:lineRule="exact"/>
        <w:rPr>
          <w:rFonts w:ascii="Times New Roman" w:hAnsi="Times New Roman" w:eastAsia="仿宋_GB2312"/>
          <w:sz w:val="32"/>
          <w:szCs w:val="32"/>
        </w:rPr>
      </w:pPr>
      <w:r>
        <w:rPr>
          <w:rFonts w:hint="eastAsia" w:ascii="Times New Roman" w:hAnsi="Times New Roman" w:eastAsia="仿宋_GB2312"/>
          <w:sz w:val="32"/>
          <w:szCs w:val="32"/>
        </w:rPr>
        <w:t>总体认为，白银市白银区统计局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年度部门整体支出涉及的资金使用符合国家财经法规和财务管理制度规定及有关部门资金管理办法的规定，符合白银市白银区统计局的工作职责和</w:t>
      </w:r>
      <w:r>
        <w:rPr>
          <w:rFonts w:ascii="Times New Roman" w:hAnsi="Times New Roman" w:eastAsia="仿宋_GB2312"/>
          <w:sz w:val="32"/>
          <w:szCs w:val="32"/>
        </w:rPr>
        <w:t>2020</w:t>
      </w:r>
      <w:r>
        <w:rPr>
          <w:rFonts w:hint="eastAsia" w:ascii="Times New Roman" w:hAnsi="Times New Roman" w:eastAsia="仿宋_GB2312"/>
          <w:sz w:val="32"/>
          <w:szCs w:val="32"/>
        </w:rPr>
        <w:t>年度工作重点，不存在资金的截留、挤占、挪用和虚列支出等情况，区统计局预算编制合理、规范，其事业发展规划、业务工作任务目标清晰、合理、明确，同部门支出计划相比较，能准确切合。</w:t>
      </w:r>
    </w:p>
    <w:p>
      <w:pPr>
        <w:pStyle w:val="8"/>
        <w:spacing w:line="580" w:lineRule="exact"/>
        <w:rPr>
          <w:rFonts w:ascii="Times New Roman" w:hAnsi="Times New Roman" w:eastAsia="仿宋_GB2312"/>
          <w:sz w:val="32"/>
          <w:szCs w:val="32"/>
        </w:rPr>
      </w:pPr>
      <w:r>
        <w:rPr>
          <w:rFonts w:hint="eastAsia" w:ascii="Times New Roman" w:hAnsi="Times New Roman" w:eastAsia="仿宋_GB2312"/>
          <w:sz w:val="32"/>
          <w:szCs w:val="32"/>
        </w:rPr>
        <w:t>评价结果表明，白银市白银区统计局</w:t>
      </w:r>
      <w:r>
        <w:rPr>
          <w:rFonts w:ascii="Times New Roman" w:hAnsi="Times New Roman" w:eastAsia="仿宋_GB2312"/>
          <w:sz w:val="32"/>
          <w:szCs w:val="32"/>
        </w:rPr>
        <w:t>2020</w:t>
      </w:r>
      <w:r>
        <w:rPr>
          <w:rFonts w:hint="eastAsia" w:ascii="Times New Roman" w:hAnsi="Times New Roman" w:eastAsia="仿宋_GB2312"/>
          <w:sz w:val="32"/>
          <w:szCs w:val="32"/>
        </w:rPr>
        <w:t>年度部门整体支出绩效评价综合得分为</w:t>
      </w:r>
      <w:r>
        <w:rPr>
          <w:rFonts w:ascii="Times New Roman" w:hAnsi="Times New Roman" w:eastAsia="仿宋_GB2312"/>
          <w:sz w:val="32"/>
          <w:szCs w:val="32"/>
        </w:rPr>
        <w:t>85</w:t>
      </w:r>
      <w:r>
        <w:rPr>
          <w:rFonts w:hint="eastAsia" w:ascii="Times New Roman" w:hAnsi="Times New Roman" w:eastAsia="仿宋_GB2312"/>
          <w:sz w:val="32"/>
          <w:szCs w:val="32"/>
        </w:rPr>
        <w:t>分，根据中华人民共和国财政部《关于规范绩效评价结果等级划分的通知》（财预便〔</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44</w:t>
      </w:r>
      <w:r>
        <w:rPr>
          <w:rFonts w:hint="eastAsia" w:ascii="Times New Roman" w:hAnsi="Times New Roman" w:eastAsia="仿宋_GB2312"/>
          <w:sz w:val="32"/>
          <w:szCs w:val="32"/>
        </w:rPr>
        <w:t>号）文件，此次绩效评价等级为：良。</w:t>
      </w:r>
    </w:p>
    <w:p>
      <w:pPr>
        <w:pStyle w:val="9"/>
        <w:spacing w:before="0" w:after="0" w:line="580" w:lineRule="exact"/>
        <w:ind w:firstLine="640" w:firstLineChars="200"/>
        <w:rPr>
          <w:rFonts w:ascii="Times New Roman" w:hAnsi="Times New Roman" w:eastAsia="黑体"/>
          <w:b w:val="0"/>
          <w:sz w:val="32"/>
          <w:szCs w:val="32"/>
        </w:rPr>
      </w:pPr>
      <w:r>
        <w:rPr>
          <w:rFonts w:hint="eastAsia" w:ascii="Times New Roman" w:hAnsi="Times New Roman" w:eastAsia="黑体"/>
          <w:b w:val="0"/>
          <w:bCs w:val="0"/>
          <w:sz w:val="32"/>
          <w:szCs w:val="32"/>
        </w:rPr>
        <w:t>四、主要经验做法</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bCs/>
          <w:sz w:val="32"/>
          <w:szCs w:val="32"/>
        </w:rPr>
        <w:t>1.</w:t>
      </w:r>
      <w:r>
        <w:rPr>
          <w:rFonts w:hint="eastAsia" w:ascii="Times New Roman" w:hAnsi="Times New Roman" w:eastAsia="楷体_GB2312"/>
          <w:b/>
          <w:bCs/>
          <w:sz w:val="32"/>
          <w:szCs w:val="32"/>
        </w:rPr>
        <w:t>内部管理风险控制有效。</w:t>
      </w:r>
      <w:r>
        <w:rPr>
          <w:rFonts w:hint="eastAsia" w:ascii="Times New Roman" w:hAnsi="Times New Roman" w:eastAsia="仿宋_GB2312"/>
          <w:sz w:val="32"/>
          <w:szCs w:val="32"/>
        </w:rPr>
        <w:t>内部控制是保障单位组织规范有序、权力运行科学高效的有效手段，也是单位组织目标实现的长效保障机制。</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bCs/>
          <w:sz w:val="32"/>
          <w:szCs w:val="32"/>
        </w:rPr>
        <w:t>2</w:t>
      </w:r>
      <w:r>
        <w:rPr>
          <w:rFonts w:hint="eastAsia" w:ascii="Times New Roman" w:hAnsi="Times New Roman" w:eastAsia="楷体_GB2312"/>
          <w:b/>
          <w:bCs/>
          <w:sz w:val="32"/>
          <w:szCs w:val="32"/>
        </w:rPr>
        <w:t>．严格财务管理制度执行。</w:t>
      </w:r>
      <w:r>
        <w:rPr>
          <w:rFonts w:hint="eastAsia" w:ascii="Times New Roman" w:hAnsi="Times New Roman" w:eastAsia="仿宋_GB2312"/>
          <w:sz w:val="32"/>
          <w:szCs w:val="32"/>
        </w:rPr>
        <w:t>在财务实施过程中，严格把控制度管理和资金安全使用，针对所有支出均实行了合同制、管理制，有效节约成本；资金则严格按照各项财经规定，实行资金报账制。</w:t>
      </w:r>
    </w:p>
    <w:p>
      <w:pPr>
        <w:pStyle w:val="9"/>
        <w:spacing w:before="0" w:after="0" w:line="580" w:lineRule="exact"/>
        <w:ind w:firstLine="640" w:firstLineChars="200"/>
        <w:rPr>
          <w:rFonts w:ascii="Times New Roman" w:hAnsi="Times New Roman" w:eastAsia="黑体"/>
          <w:b w:val="0"/>
          <w:sz w:val="32"/>
          <w:szCs w:val="32"/>
        </w:rPr>
      </w:pPr>
      <w:r>
        <w:rPr>
          <w:rFonts w:hint="eastAsia" w:ascii="Times New Roman" w:hAnsi="Times New Roman" w:eastAsia="黑体"/>
          <w:b w:val="0"/>
          <w:bCs w:val="0"/>
          <w:sz w:val="32"/>
          <w:szCs w:val="32"/>
        </w:rPr>
        <w:t>五、下一步改进的措施</w:t>
      </w:r>
    </w:p>
    <w:p>
      <w:pPr>
        <w:pStyle w:val="8"/>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在此次绩效评价中发现，白银区统计局在</w:t>
      </w:r>
      <w:r>
        <w:rPr>
          <w:rFonts w:ascii="Times New Roman" w:hAnsi="Times New Roman" w:eastAsia="仿宋_GB2312"/>
          <w:sz w:val="32"/>
          <w:szCs w:val="32"/>
        </w:rPr>
        <w:t>2020</w:t>
      </w:r>
      <w:r>
        <w:rPr>
          <w:rFonts w:hint="eastAsia" w:ascii="Times New Roman" w:hAnsi="Times New Roman" w:eastAsia="仿宋_GB2312"/>
          <w:sz w:val="32"/>
          <w:szCs w:val="32"/>
        </w:rPr>
        <w:t>年的整体履职时，还存在一些不足之处，需要进一步加强各个环节的工作力度，以求的更好的效益，主要表现在：</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bCs/>
          <w:sz w:val="32"/>
          <w:szCs w:val="32"/>
        </w:rPr>
        <w:t>1.</w:t>
      </w:r>
      <w:r>
        <w:rPr>
          <w:rFonts w:hint="eastAsia" w:ascii="Times New Roman" w:hAnsi="Times New Roman" w:eastAsia="楷体_GB2312"/>
          <w:b/>
          <w:bCs/>
          <w:sz w:val="32"/>
          <w:szCs w:val="32"/>
        </w:rPr>
        <w:t>在投入方面：</w:t>
      </w:r>
      <w:r>
        <w:rPr>
          <w:rFonts w:hint="eastAsia" w:ascii="Times New Roman" w:hAnsi="Times New Roman" w:eastAsia="仿宋_GB2312"/>
          <w:sz w:val="32"/>
          <w:szCs w:val="32"/>
        </w:rPr>
        <w:t>不论预算的编制，还是目标的设定，都取得了好的成绩，但是，在以后的工作中，要进一步保持绩效目标的合理性和明确性，同时，需要更加突出预算编制的规范性，更加紧密结合本单位的职能，紧扣工作，尽量缩小财政拨款收入预决算的差异率。</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bCs/>
          <w:sz w:val="32"/>
          <w:szCs w:val="32"/>
        </w:rPr>
        <w:t>2.</w:t>
      </w:r>
      <w:r>
        <w:rPr>
          <w:rFonts w:hint="eastAsia" w:ascii="Times New Roman" w:hAnsi="Times New Roman" w:eastAsia="楷体_GB2312"/>
          <w:b/>
          <w:bCs/>
          <w:sz w:val="32"/>
          <w:szCs w:val="32"/>
        </w:rPr>
        <w:t>在过程执行中：</w:t>
      </w:r>
      <w:r>
        <w:rPr>
          <w:rFonts w:hint="eastAsia" w:ascii="Times New Roman" w:hAnsi="Times New Roman" w:eastAsia="仿宋_GB2312"/>
          <w:sz w:val="32"/>
          <w:szCs w:val="32"/>
        </w:rPr>
        <w:t>要严把预算执行关，继续保持公用经费的控制率，进一步加强和规范政府采购，及时有效地按照要求公开预决算，并继续完善和健全单位整体管理制度。</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bCs/>
          <w:sz w:val="32"/>
          <w:szCs w:val="32"/>
        </w:rPr>
        <w:t>3.</w:t>
      </w:r>
      <w:r>
        <w:rPr>
          <w:rFonts w:hint="eastAsia" w:ascii="Times New Roman" w:hAnsi="Times New Roman" w:eastAsia="楷体_GB2312"/>
          <w:b/>
          <w:bCs/>
          <w:sz w:val="32"/>
          <w:szCs w:val="32"/>
        </w:rPr>
        <w:t>在产出方面：</w:t>
      </w:r>
      <w:r>
        <w:rPr>
          <w:rFonts w:hint="eastAsia" w:ascii="Times New Roman" w:hAnsi="Times New Roman" w:eastAsia="仿宋_GB2312"/>
          <w:sz w:val="32"/>
          <w:szCs w:val="32"/>
        </w:rPr>
        <w:t>各个环节的工作都取得了很好的成绩，但是在以后的服务于企业的各项工作中，需要继续保持并进一步加强。</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bCs/>
          <w:sz w:val="32"/>
          <w:szCs w:val="32"/>
        </w:rPr>
        <w:t>4.</w:t>
      </w:r>
      <w:r>
        <w:rPr>
          <w:rFonts w:hint="eastAsia" w:ascii="Times New Roman" w:hAnsi="Times New Roman" w:eastAsia="楷体_GB2312"/>
          <w:b/>
          <w:bCs/>
          <w:sz w:val="32"/>
          <w:szCs w:val="32"/>
        </w:rPr>
        <w:t>在效益方面：</w:t>
      </w:r>
      <w:r>
        <w:rPr>
          <w:rFonts w:hint="eastAsia" w:ascii="Times New Roman" w:hAnsi="Times New Roman" w:eastAsia="仿宋_GB2312"/>
          <w:sz w:val="32"/>
          <w:szCs w:val="32"/>
        </w:rPr>
        <w:t>不论是社会效益，还是可持续影响，白银区统计局都取得了好的成绩，但是还需要进一步保持，以期取得更好的效益。</w:t>
      </w:r>
    </w:p>
    <w:p>
      <w:pPr>
        <w:pStyle w:val="9"/>
        <w:spacing w:before="0" w:after="0" w:line="580" w:lineRule="exact"/>
        <w:ind w:firstLine="640" w:firstLineChars="200"/>
        <w:rPr>
          <w:rFonts w:ascii="Times New Roman" w:hAnsi="Times New Roman" w:eastAsia="黑体"/>
          <w:b w:val="0"/>
          <w:bCs w:val="0"/>
          <w:sz w:val="32"/>
          <w:szCs w:val="32"/>
        </w:rPr>
      </w:pPr>
      <w:r>
        <w:rPr>
          <w:rFonts w:hint="eastAsia" w:ascii="Times New Roman" w:hAnsi="Times New Roman" w:eastAsia="黑体"/>
          <w:b w:val="0"/>
          <w:bCs w:val="0"/>
          <w:sz w:val="32"/>
          <w:szCs w:val="32"/>
        </w:rPr>
        <w:t>六、附件</w:t>
      </w:r>
    </w:p>
    <w:p>
      <w:pPr>
        <w:pStyle w:val="8"/>
        <w:spacing w:line="580" w:lineRule="exact"/>
        <w:rPr>
          <w:rFonts w:ascii="Times New Roman" w:hAnsi="Times New Roman" w:eastAsia="仿宋_GB2312"/>
          <w:sz w:val="32"/>
          <w:szCs w:val="32"/>
        </w:rPr>
      </w:pPr>
      <w:r>
        <w:rPr>
          <w:rFonts w:hint="eastAsia" w:ascii="Times New Roman" w:hAnsi="Times New Roman" w:eastAsia="仿宋_GB2312"/>
          <w:sz w:val="32"/>
          <w:szCs w:val="32"/>
        </w:rPr>
        <w:t>白银市白银区统计局</w:t>
      </w:r>
      <w:r>
        <w:rPr>
          <w:rFonts w:ascii="Times New Roman" w:hAnsi="Times New Roman" w:eastAsia="仿宋_GB2312"/>
          <w:sz w:val="32"/>
          <w:szCs w:val="32"/>
        </w:rPr>
        <w:t>2020</w:t>
      </w:r>
      <w:r>
        <w:rPr>
          <w:rFonts w:hint="eastAsia" w:ascii="Times New Roman" w:hAnsi="Times New Roman" w:eastAsia="仿宋_GB2312"/>
          <w:sz w:val="32"/>
          <w:szCs w:val="32"/>
        </w:rPr>
        <w:t>年整体支出绩效评价指标体系。</w:t>
      </w:r>
    </w:p>
    <w:p>
      <w:pPr>
        <w:pStyle w:val="9"/>
        <w:spacing w:before="0" w:after="0" w:line="580" w:lineRule="exact"/>
        <w:ind w:firstLine="640" w:firstLineChars="200"/>
        <w:rPr>
          <w:rFonts w:ascii="Times New Roman" w:hAnsi="Times New Roman" w:eastAsia="黑体"/>
          <w:b w:val="0"/>
          <w:bCs w:val="0"/>
          <w:sz w:val="32"/>
          <w:szCs w:val="32"/>
        </w:rPr>
      </w:pPr>
      <w:r>
        <w:rPr>
          <w:rFonts w:hint="eastAsia" w:ascii="Times New Roman" w:hAnsi="Times New Roman" w:eastAsia="黑体"/>
          <w:b w:val="0"/>
          <w:bCs w:val="0"/>
          <w:sz w:val="32"/>
          <w:szCs w:val="32"/>
        </w:rPr>
        <w:t>七、名词解释</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1.</w:t>
      </w:r>
      <w:r>
        <w:rPr>
          <w:rFonts w:hint="eastAsia" w:ascii="Times New Roman" w:hAnsi="Times New Roman" w:eastAsia="楷体_GB2312"/>
          <w:b/>
          <w:sz w:val="32"/>
          <w:szCs w:val="32"/>
        </w:rPr>
        <w:t>绩效目标：</w:t>
      </w:r>
      <w:r>
        <w:rPr>
          <w:rFonts w:hint="eastAsia" w:ascii="Times New Roman" w:hAnsi="Times New Roman" w:eastAsia="仿宋_GB2312"/>
          <w:sz w:val="32"/>
          <w:szCs w:val="32"/>
        </w:rPr>
        <w:t>绩效预算管理的对象在一定期限内预期达到的产出和效果。</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2.</w:t>
      </w:r>
      <w:r>
        <w:rPr>
          <w:rFonts w:hint="eastAsia" w:ascii="Times New Roman" w:hAnsi="Times New Roman" w:eastAsia="楷体_GB2312"/>
          <w:b/>
          <w:sz w:val="32"/>
          <w:szCs w:val="32"/>
        </w:rPr>
        <w:t>绩效目标管理：</w:t>
      </w:r>
      <w:r>
        <w:rPr>
          <w:rFonts w:hint="eastAsia" w:ascii="Times New Roman" w:hAnsi="Times New Roman" w:eastAsia="仿宋_GB2312"/>
          <w:sz w:val="32"/>
          <w:szCs w:val="32"/>
        </w:rPr>
        <w:t>财政部门及其所属单位以绩效目标为对象，以绩效目标的设定、审核和批复为内容所开展的预算管理活动。</w:t>
      </w:r>
    </w:p>
    <w:p>
      <w:pPr>
        <w:pStyle w:val="8"/>
        <w:spacing w:line="580" w:lineRule="exact"/>
        <w:ind w:firstLine="630" w:firstLineChars="196"/>
        <w:rPr>
          <w:rFonts w:ascii="Times New Roman" w:hAnsi="Times New Roman" w:eastAsia="仿宋"/>
          <w:sz w:val="32"/>
          <w:szCs w:val="32"/>
        </w:rPr>
      </w:pPr>
      <w:r>
        <w:rPr>
          <w:rFonts w:ascii="Times New Roman" w:hAnsi="Times New Roman" w:eastAsia="楷体_GB2312"/>
          <w:b/>
          <w:sz w:val="32"/>
          <w:szCs w:val="32"/>
        </w:rPr>
        <w:t>3.</w:t>
      </w:r>
      <w:r>
        <w:rPr>
          <w:rFonts w:hint="eastAsia" w:ascii="Times New Roman" w:hAnsi="Times New Roman" w:eastAsia="楷体_GB2312"/>
          <w:b/>
          <w:sz w:val="32"/>
          <w:szCs w:val="32"/>
        </w:rPr>
        <w:t>绩效评价指标：</w:t>
      </w:r>
      <w:r>
        <w:rPr>
          <w:rFonts w:hint="eastAsia" w:ascii="Times New Roman" w:hAnsi="Times New Roman" w:eastAsia="仿宋_GB2312"/>
          <w:sz w:val="32"/>
          <w:szCs w:val="32"/>
        </w:rPr>
        <w:t>衡量绩效目标实现程度的考核工具。</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4.</w:t>
      </w:r>
      <w:r>
        <w:rPr>
          <w:rFonts w:hint="eastAsia" w:ascii="Times New Roman" w:hAnsi="Times New Roman" w:eastAsia="楷体_GB2312"/>
          <w:b/>
          <w:sz w:val="32"/>
          <w:szCs w:val="32"/>
        </w:rPr>
        <w:t>绩效评价指标体系：</w:t>
      </w:r>
      <w:r>
        <w:rPr>
          <w:rFonts w:hint="eastAsia" w:ascii="Times New Roman" w:hAnsi="Times New Roman" w:eastAsia="仿宋_GB2312"/>
          <w:sz w:val="32"/>
          <w:szCs w:val="32"/>
        </w:rPr>
        <w:t>综合反映绩效总体现象的特定概念，是衡量和评价财政支出与项目实施的经济性、效率性和有效性的载体。</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5.</w:t>
      </w:r>
      <w:r>
        <w:rPr>
          <w:rFonts w:hint="eastAsia" w:ascii="Times New Roman" w:hAnsi="Times New Roman" w:eastAsia="楷体_GB2312"/>
          <w:b/>
          <w:sz w:val="32"/>
          <w:szCs w:val="32"/>
        </w:rPr>
        <w:t>绩效评价：</w:t>
      </w:r>
      <w:r>
        <w:rPr>
          <w:rFonts w:hint="eastAsia" w:ascii="Times New Roman" w:hAnsi="Times New Roman" w:eastAsia="仿宋_GB2312"/>
          <w:sz w:val="32"/>
          <w:szCs w:val="32"/>
        </w:rPr>
        <w:t>财政部门和预算部门（单位）根据设定的绩效目标，运用科学、合理的绩效评价指标、评价标准和评价方法，对财政支出的经济性、效率性和效益性进行客观、公正的评价。</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6.</w:t>
      </w:r>
      <w:r>
        <w:rPr>
          <w:rFonts w:hint="eastAsia" w:ascii="Times New Roman" w:hAnsi="Times New Roman" w:eastAsia="楷体_GB2312"/>
          <w:b/>
          <w:sz w:val="32"/>
          <w:szCs w:val="32"/>
        </w:rPr>
        <w:t>预算绩效管理：</w:t>
      </w:r>
      <w:r>
        <w:rPr>
          <w:rFonts w:hint="eastAsia" w:ascii="Times New Roman" w:hAnsi="Times New Roman" w:eastAsia="仿宋_GB2312"/>
          <w:sz w:val="32"/>
          <w:szCs w:val="32"/>
        </w:rPr>
        <w:t>预算绩效管理是指根据绩效理念，制定明确的预算支出绩效目标，建立规范的绩效评价指标体系，对绩效目标的实现程度进行评价，并把评价结果与预算编制紧密结合起来等环节组成的不断循环的综合过程。</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7.</w:t>
      </w:r>
      <w:r>
        <w:rPr>
          <w:rFonts w:hint="eastAsia" w:ascii="Times New Roman" w:hAnsi="Times New Roman" w:eastAsia="楷体_GB2312"/>
          <w:b/>
          <w:sz w:val="32"/>
          <w:szCs w:val="32"/>
        </w:rPr>
        <w:t>部门预算：</w:t>
      </w:r>
      <w:r>
        <w:rPr>
          <w:rFonts w:hint="eastAsia" w:ascii="Times New Roman" w:hAnsi="Times New Roman" w:eastAsia="仿宋_GB2312"/>
          <w:sz w:val="32"/>
          <w:szCs w:val="32"/>
        </w:rPr>
        <w:t>指政府部门依据国家有关法律、法规、政策及其履行职能需要，编制的反映政府各部门所有收入和支出情况的年度财政收入预算。</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8.</w:t>
      </w:r>
      <w:r>
        <w:rPr>
          <w:rFonts w:hint="eastAsia" w:ascii="Times New Roman" w:hAnsi="Times New Roman" w:eastAsia="楷体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9.</w:t>
      </w:r>
      <w:r>
        <w:rPr>
          <w:rFonts w:hint="eastAsia" w:ascii="Times New Roman" w:hAnsi="Times New Roman" w:eastAsia="楷体_GB2312"/>
          <w:b/>
          <w:sz w:val="32"/>
          <w:szCs w:val="32"/>
        </w:rPr>
        <w:t>项目支出：</w:t>
      </w:r>
      <w:r>
        <w:rPr>
          <w:rFonts w:hint="eastAsia" w:ascii="Times New Roman" w:hAnsi="Times New Roman" w:eastAsia="仿宋_GB2312"/>
          <w:sz w:val="32"/>
          <w:szCs w:val="32"/>
        </w:rPr>
        <w:t>包括编入部门预算的单位发展项目、省直发展项目支出等。</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10.</w:t>
      </w:r>
      <w:r>
        <w:rPr>
          <w:rFonts w:hint="eastAsia" w:ascii="Times New Roman" w:hAnsi="Times New Roman" w:eastAsia="楷体_GB2312"/>
          <w:b/>
          <w:sz w:val="32"/>
          <w:szCs w:val="32"/>
        </w:rPr>
        <w:t>工资福利支出：</w:t>
      </w:r>
      <w:r>
        <w:rPr>
          <w:rFonts w:hint="eastAsia" w:ascii="Times New Roman" w:hAnsi="Times New Roman" w:eastAsia="仿宋_GB2312"/>
          <w:sz w:val="32"/>
          <w:szCs w:val="32"/>
        </w:rPr>
        <w:t>反映单位开支的在职职工和编制外长期聘用人员的各类劳动报酬，以及为上述人员缴纳的各项社会保险费等。</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11.</w:t>
      </w:r>
      <w:r>
        <w:rPr>
          <w:rFonts w:hint="eastAsia" w:ascii="Times New Roman" w:hAnsi="Times New Roman" w:eastAsia="楷体_GB2312"/>
          <w:b/>
          <w:sz w:val="32"/>
          <w:szCs w:val="32"/>
        </w:rPr>
        <w:t>商品和服务支出：</w:t>
      </w:r>
      <w:r>
        <w:rPr>
          <w:rFonts w:hint="eastAsia" w:ascii="Times New Roman" w:hAnsi="Times New Roman" w:eastAsia="仿宋_GB2312"/>
          <w:sz w:val="32"/>
          <w:szCs w:val="32"/>
        </w:rPr>
        <w:t>反映单位购买商品和服务的支出（不包括用于购置固定资产的支出、战略性和应急储备支出，但军事方面的耐用消费品和设备的购置费、军事性建设费以及军事建筑物的购置费等在本科目中反映）。</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12.</w:t>
      </w:r>
      <w:r>
        <w:rPr>
          <w:rFonts w:hint="eastAsia" w:ascii="Times New Roman" w:hAnsi="Times New Roman" w:eastAsia="楷体_GB2312"/>
          <w:b/>
          <w:sz w:val="32"/>
          <w:szCs w:val="32"/>
        </w:rPr>
        <w:t>对个人和家庭的补助：</w:t>
      </w:r>
      <w:r>
        <w:rPr>
          <w:rFonts w:hint="eastAsia" w:ascii="Times New Roman" w:hAnsi="Times New Roman" w:eastAsia="仿宋_GB2312"/>
          <w:sz w:val="32"/>
          <w:szCs w:val="32"/>
        </w:rPr>
        <w:t>反映政府用于对个人和家庭的补助支出。</w:t>
      </w:r>
    </w:p>
    <w:p>
      <w:pPr>
        <w:pStyle w:val="8"/>
        <w:spacing w:line="580" w:lineRule="exact"/>
        <w:ind w:firstLine="630" w:firstLineChars="196"/>
        <w:rPr>
          <w:rFonts w:ascii="Times New Roman" w:hAnsi="Times New Roman" w:eastAsia="仿宋_GB2312"/>
          <w:sz w:val="32"/>
          <w:szCs w:val="32"/>
        </w:rPr>
      </w:pPr>
      <w:r>
        <w:rPr>
          <w:rFonts w:ascii="Times New Roman" w:hAnsi="Times New Roman" w:eastAsia="楷体_GB2312"/>
          <w:b/>
          <w:sz w:val="32"/>
          <w:szCs w:val="32"/>
        </w:rPr>
        <w:t>13.</w:t>
      </w:r>
      <w:r>
        <w:rPr>
          <w:rFonts w:hint="eastAsia" w:ascii="Times New Roman" w:hAnsi="Times New Roman" w:eastAsia="楷体_GB2312"/>
          <w:b/>
          <w:sz w:val="32"/>
          <w:szCs w:val="32"/>
        </w:rPr>
        <w:t>三公经费：</w:t>
      </w:r>
      <w:r>
        <w:rPr>
          <w:rFonts w:hint="eastAsia" w:ascii="Times New Roman" w:hAnsi="Times New Roman" w:eastAsia="仿宋_GB2312"/>
          <w:sz w:val="32"/>
          <w:szCs w:val="32"/>
        </w:rPr>
        <w:t>指部门用财政拨款安排的因公出国（境）费，公务用车购置及运行费和公务接费。</w:t>
      </w:r>
    </w:p>
    <w:p>
      <w:pPr>
        <w:ind w:firstLine="643" w:firstLineChars="200"/>
        <w:rPr>
          <w:rFonts w:ascii="Times New Roman" w:hAnsi="Times New Roman" w:eastAsia="仿宋_GB2312"/>
          <w:kern w:val="2"/>
          <w:sz w:val="32"/>
          <w:szCs w:val="32"/>
        </w:rPr>
        <w:sectPr>
          <w:footerReference r:id="rId5" w:type="default"/>
          <w:pgSz w:w="11906" w:h="16838"/>
          <w:pgMar w:top="1440" w:right="1800" w:bottom="1440" w:left="1800" w:header="0" w:footer="992" w:gutter="0"/>
          <w:cols w:space="720" w:num="1"/>
          <w:formProt w:val="0"/>
          <w:titlePg/>
          <w:docGrid w:type="lines" w:linePitch="312" w:charSpace="91954"/>
        </w:sectPr>
      </w:pPr>
      <w:r>
        <w:rPr>
          <w:rFonts w:ascii="Times New Roman" w:hAnsi="Times New Roman" w:eastAsia="楷体_GB2312"/>
          <w:b/>
          <w:kern w:val="2"/>
          <w:sz w:val="32"/>
          <w:szCs w:val="32"/>
        </w:rPr>
        <w:t>14.</w:t>
      </w:r>
      <w:r>
        <w:rPr>
          <w:rFonts w:hint="eastAsia" w:ascii="Times New Roman" w:hAnsi="Times New Roman" w:eastAsia="楷体_GB2312"/>
          <w:b/>
          <w:kern w:val="2"/>
          <w:sz w:val="32"/>
          <w:szCs w:val="32"/>
        </w:rPr>
        <w:t>政府采购制度：</w:t>
      </w:r>
      <w:r>
        <w:rPr>
          <w:rFonts w:hint="eastAsia" w:ascii="Times New Roman" w:hAnsi="Times New Roman" w:eastAsia="仿宋_GB2312"/>
          <w:kern w:val="2"/>
          <w:sz w:val="32"/>
          <w:szCs w:val="32"/>
        </w:rPr>
        <w:t>指以公开招标、投标为主要方式选择供应商（厂商），从国内外市场上为政府部门或所属团体购买商品或服务或工程的一种制度。</w:t>
      </w:r>
    </w:p>
    <w:p>
      <w:pPr>
        <w:pStyle w:val="8"/>
        <w:spacing w:line="580" w:lineRule="exact"/>
      </w:pPr>
    </w:p>
    <w:sectPr>
      <w:footerReference r:id="rId6" w:type="default"/>
      <w:pgSz w:w="11906" w:h="16838"/>
      <w:pgMar w:top="1440" w:right="1800" w:bottom="1440" w:left="1800" w:header="0" w:footer="992" w:gutter="0"/>
      <w:cols w:space="720" w:num="1"/>
      <w:formProt w:val="0"/>
      <w:titlePg/>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86"/>
    <w:family w:val="roman"/>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fldChar w:fldCharType="begin"/>
    </w:r>
    <w:r>
      <w:rPr>
        <w:lang w:val="zh-CN"/>
      </w:rPr>
      <w:instrText xml:space="preserve">PAGE</w:instrText>
    </w:r>
    <w:r>
      <w:rPr>
        <w:lang w:val="zh-CN"/>
      </w:rPr>
      <w:fldChar w:fldCharType="separate"/>
    </w:r>
    <w:r>
      <w:rPr>
        <w:lang w:val="zh-CN"/>
      </w:rPr>
      <w:t>3</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fldChar w:fldCharType="begin"/>
    </w:r>
    <w:r>
      <w:rPr>
        <w:lang w:val="zh-CN"/>
      </w:rPr>
      <w:instrText xml:space="preserve">PAGE</w:instrText>
    </w:r>
    <w:r>
      <w:rPr>
        <w:lang w:val="zh-CN"/>
      </w:rPr>
      <w:fldChar w:fldCharType="separate"/>
    </w:r>
    <w:r>
      <w:rPr>
        <w:lang w:val="zh-CN"/>
      </w:rPr>
      <w:t>5</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fldChar w:fldCharType="begin"/>
    </w:r>
    <w:r>
      <w:rPr>
        <w:lang w:val="zh-CN"/>
      </w:rPr>
      <w:instrText xml:space="preserve">PAGE</w:instrText>
    </w:r>
    <w:r>
      <w:rPr>
        <w:lang w:val="zh-CN"/>
      </w:rPr>
      <w:fldChar w:fldCharType="separate"/>
    </w:r>
    <w:r>
      <w:rPr>
        <w:lang w:val="zh-CN"/>
      </w:rPr>
      <w:t>16</w:t>
    </w:r>
    <w:r>
      <w:rPr>
        <w:lang w:val="zh-CN"/>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hAnsi="仿宋_GB2312" w:eastAsia="仿宋_GB2312"/>
        <w:sz w:val="28"/>
        <w:szCs w:val="28"/>
      </w:rPr>
    </w:pPr>
    <w:r>
      <w:rPr>
        <w:rFonts w:ascii="仿宋_GB2312" w:hAnsi="仿宋_GB2312" w:eastAsia="仿宋_GB2312"/>
        <w:sz w:val="28"/>
        <w:szCs w:val="28"/>
      </w:rPr>
      <w:fldChar w:fldCharType="begin"/>
    </w:r>
    <w:r>
      <w:rPr>
        <w:rFonts w:ascii="仿宋_GB2312" w:hAnsi="仿宋_GB2312" w:eastAsia="仿宋_GB2312"/>
        <w:sz w:val="28"/>
        <w:szCs w:val="28"/>
      </w:rPr>
      <w:instrText xml:space="preserve">PAGE</w:instrText>
    </w:r>
    <w:r>
      <w:rPr>
        <w:rFonts w:ascii="仿宋_GB2312" w:hAnsi="仿宋_GB2312" w:eastAsia="仿宋_GB2312"/>
        <w:sz w:val="28"/>
        <w:szCs w:val="28"/>
      </w:rPr>
      <w:fldChar w:fldCharType="separate"/>
    </w:r>
    <w:r>
      <w:rPr>
        <w:rFonts w:ascii="仿宋_GB2312" w:hAnsi="仿宋_GB2312" w:eastAsia="仿宋_GB2312"/>
        <w:sz w:val="28"/>
        <w:szCs w:val="28"/>
      </w:rPr>
      <w:t>0</w:t>
    </w:r>
    <w:r>
      <w:rPr>
        <w:rFonts w:ascii="仿宋_GB2312" w:hAns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9B6"/>
    <w:rsid w:val="000738DB"/>
    <w:rsid w:val="000A0725"/>
    <w:rsid w:val="000F0DEF"/>
    <w:rsid w:val="00132618"/>
    <w:rsid w:val="0039612B"/>
    <w:rsid w:val="00455CD2"/>
    <w:rsid w:val="0054099C"/>
    <w:rsid w:val="00554947"/>
    <w:rsid w:val="005960FB"/>
    <w:rsid w:val="00646D36"/>
    <w:rsid w:val="00697791"/>
    <w:rsid w:val="00781823"/>
    <w:rsid w:val="007F62F3"/>
    <w:rsid w:val="00950736"/>
    <w:rsid w:val="009A4982"/>
    <w:rsid w:val="00AC19A4"/>
    <w:rsid w:val="00B003C9"/>
    <w:rsid w:val="00B1232D"/>
    <w:rsid w:val="00B32906"/>
    <w:rsid w:val="00B67D12"/>
    <w:rsid w:val="00C5724A"/>
    <w:rsid w:val="00C60D0D"/>
    <w:rsid w:val="00C63273"/>
    <w:rsid w:val="00CE2614"/>
    <w:rsid w:val="00D364F7"/>
    <w:rsid w:val="00D861BF"/>
    <w:rsid w:val="00DF45D8"/>
    <w:rsid w:val="00E6096A"/>
    <w:rsid w:val="00E67D96"/>
    <w:rsid w:val="00EF303D"/>
    <w:rsid w:val="00F339B6"/>
    <w:rsid w:val="00F9151C"/>
    <w:rsid w:val="00F9457B"/>
    <w:rsid w:val="00FC4FC8"/>
    <w:rsid w:val="04F75026"/>
    <w:rsid w:val="05423331"/>
    <w:rsid w:val="0E257B6F"/>
    <w:rsid w:val="23177619"/>
    <w:rsid w:val="2AF77C2D"/>
    <w:rsid w:val="474045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5"/>
        <o:r id="V:Rule2" type="connector" idref="#_x0000_s1036"/>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ocked="1"/>
    <w:lsdException w:unhideWhenUsed="0" w:uiPriority="99"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0"/>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locked/>
    <w:uiPriority w:val="99"/>
    <w:pPr>
      <w:tabs>
        <w:tab w:val="center" w:pos="4153"/>
        <w:tab w:val="right" w:pos="8306"/>
      </w:tabs>
      <w:snapToGrid w:val="0"/>
      <w:jc w:val="left"/>
    </w:pPr>
    <w:rPr>
      <w:sz w:val="18"/>
    </w:rPr>
  </w:style>
  <w:style w:type="paragraph" w:styleId="3">
    <w:name w:val="header"/>
    <w:basedOn w:val="1"/>
    <w:link w:val="7"/>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locked/>
    <w:uiPriority w:val="99"/>
    <w:rPr>
      <w:rFonts w:cs="Times New Roman"/>
      <w:kern w:val="0"/>
      <w:sz w:val="18"/>
      <w:szCs w:val="18"/>
    </w:rPr>
  </w:style>
  <w:style w:type="character" w:customStyle="1" w:styleId="7">
    <w:name w:val="Header Char"/>
    <w:basedOn w:val="5"/>
    <w:link w:val="3"/>
    <w:semiHidden/>
    <w:locked/>
    <w:uiPriority w:val="99"/>
    <w:rPr>
      <w:rFonts w:cs="Times New Roman"/>
      <w:kern w:val="0"/>
      <w:sz w:val="18"/>
      <w:szCs w:val="18"/>
    </w:rPr>
  </w:style>
  <w:style w:type="paragraph" w:customStyle="1" w:styleId="8">
    <w:name w:val="正文1"/>
    <w:uiPriority w:val="99"/>
    <w:pPr>
      <w:widowControl w:val="0"/>
      <w:jc w:val="both"/>
    </w:pPr>
    <w:rPr>
      <w:rFonts w:ascii="Calibri" w:hAnsi="Calibri" w:eastAsia="宋体" w:cs="Times New Roman"/>
      <w:kern w:val="2"/>
      <w:sz w:val="21"/>
      <w:szCs w:val="22"/>
      <w:lang w:val="en-US" w:eastAsia="zh-CN" w:bidi="ar-SA"/>
    </w:rPr>
  </w:style>
  <w:style w:type="paragraph" w:customStyle="1" w:styleId="9">
    <w:name w:val="标题 11"/>
    <w:basedOn w:val="8"/>
    <w:next w:val="8"/>
    <w:uiPriority w:val="99"/>
    <w:pPr>
      <w:keepNext/>
      <w:keepLines/>
      <w:spacing w:before="340" w:after="330" w:line="578" w:lineRule="auto"/>
      <w:outlineLvl w:val="0"/>
    </w:pPr>
    <w:rPr>
      <w:b/>
      <w:bCs/>
      <w:sz w:val="44"/>
      <w:szCs w:val="44"/>
    </w:rPr>
  </w:style>
  <w:style w:type="paragraph" w:customStyle="1" w:styleId="10">
    <w:name w:val="标题 21"/>
    <w:basedOn w:val="8"/>
    <w:next w:val="8"/>
    <w:uiPriority w:val="99"/>
    <w:pPr>
      <w:keepNext/>
      <w:keepLines/>
      <w:spacing w:before="260" w:after="260" w:line="415" w:lineRule="auto"/>
      <w:outlineLvl w:val="1"/>
    </w:pPr>
    <w:rPr>
      <w:rFonts w:ascii="Calibri Light" w:hAnsi="Calibri Light"/>
      <w:b/>
      <w:bCs/>
      <w:sz w:val="32"/>
      <w:szCs w:val="32"/>
    </w:rPr>
  </w:style>
  <w:style w:type="paragraph" w:customStyle="1" w:styleId="11">
    <w:name w:val="页脚1"/>
    <w:basedOn w:val="8"/>
    <w:uiPriority w:val="99"/>
    <w:pPr>
      <w:tabs>
        <w:tab w:val="center" w:pos="4153"/>
        <w:tab w:val="right" w:pos="8306"/>
      </w:tabs>
      <w:snapToGrid w:val="0"/>
      <w:jc w:val="left"/>
    </w:pPr>
    <w:rPr>
      <w:sz w:val="18"/>
      <w:szCs w:val="18"/>
    </w:rPr>
  </w:style>
  <w:style w:type="paragraph" w:customStyle="1" w:styleId="12">
    <w:name w:val="目录 11"/>
    <w:basedOn w:val="8"/>
    <w:next w:val="8"/>
    <w:uiPriority w:val="99"/>
    <w:pPr>
      <w:tabs>
        <w:tab w:val="right" w:leader="dot" w:pos="8296"/>
      </w:tabs>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26</Pages>
  <Words>1619</Words>
  <Characters>9234</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2021-07-09T02:25:00Z</dcterms:created>
  <dc:creator>asus</dc:creator>
  <cp:lastModifiedBy>Administrator</cp:lastModifiedBy>
  <cp:lastPrinted>2021-07-12T00:30:00Z</cp:lastPrinted>
  <dcterms:modified xsi:type="dcterms:W3CDTF">2021-07-14T06:53:49Z</dcterms:modified>
  <dc:title>白银市白银区统计局2019年度部门整体支出</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F5ED7BA102B14F5E825ED1B9D75C431A</vt:lpwstr>
  </property>
</Properties>
</file>